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spacing w:beforeLines="0" w:before="93"/>
        <w:rPr>
          <w:rFonts w:ascii="Times New Roman" w:eastAsia="方正小标宋简体" w:cs="Times New Roman" w:hAnsi="Times New Roman"/>
          <w:kern w:val="2"/>
          <w:sz w:val="72"/>
          <w:szCs w:val="72"/>
        </w:rPr>
      </w:pPr>
      <w:bookmarkStart w:id="0" w:name="_Toc15396475"/>
      <w:bookmarkStart w:id="1" w:name="_Toc15377425"/>
      <w:bookmarkStart w:id="2" w:name="_Toc15377193"/>
      <w:bookmarkStart w:id="3" w:name="_Toc15396597"/>
      <w:bookmarkStart w:id="4" w:name="_Toc15378441"/>
      <w:bookmarkStart w:id="5" w:name="_Toc15306267"/>
    </w:p>
    <w:p>
      <w:pPr>
        <w:pStyle w:val="16"/>
        <w:spacing w:beforeLines="0" w:before="93"/>
        <w:rPr>
          <w:rFonts w:ascii="Times New Roman" w:eastAsia="方正小标宋简体" w:cs="Times New Roman" w:hAnsi="Times New Roman"/>
          <w:kern w:val="2"/>
          <w:sz w:val="72"/>
          <w:szCs w:val="72"/>
        </w:rPr>
      </w:pPr>
    </w:p>
    <w:p>
      <w:pPr>
        <w:pStyle w:val="16"/>
        <w:spacing w:beforeLines="0" w:before="93"/>
        <w:rPr>
          <w:rFonts w:ascii="Times New Roman" w:eastAsia="方正小标宋简体" w:cs="Times New Roman" w:hAnsi="Times New Roman"/>
          <w:kern w:val="2"/>
          <w:sz w:val="72"/>
          <w:szCs w:val="72"/>
        </w:rPr>
      </w:pPr>
    </w:p>
    <w:p>
      <w:pPr>
        <w:pStyle w:val="16"/>
        <w:spacing w:beforeLines="0" w:before="93"/>
        <w:jc w:val="center"/>
        <w:rPr>
          <w:rFonts w:ascii="Times New Roman" w:eastAsia="方正小标宋简体" w:cs="Times New Roman" w:hAnsi="Times New Roman"/>
          <w:kern w:val="2"/>
          <w:sz w:val="44"/>
          <w:szCs w:val="44"/>
        </w:rPr>
      </w:pPr>
      <w:r>
        <w:rPr>
          <w:rFonts w:ascii="Times New Roman" w:eastAsia="方正小标宋简体" w:cs="Times New Roman" w:hAnsi="Times New Roman"/>
          <w:kern w:val="2"/>
          <w:sz w:val="44"/>
          <w:szCs w:val="44"/>
        </w:rPr>
        <w:t>2025年度市级</w:t>
      </w:r>
      <w:r>
        <w:rPr>
          <w:rFonts w:ascii="Times New Roman" w:eastAsia="方正小标宋简体" w:cs="Times New Roman" w:hAnsi="Times New Roman" w:hint="eastAsia"/>
          <w:kern w:val="2"/>
          <w:sz w:val="44"/>
          <w:szCs w:val="44"/>
          <w:lang w:eastAsia="zh-CN"/>
        </w:rPr>
        <w:t>单位</w:t>
      </w:r>
      <w:r>
        <w:rPr>
          <w:rFonts w:ascii="Times New Roman" w:eastAsia="方正小标宋简体" w:cs="Times New Roman" w:hAnsi="Times New Roman"/>
          <w:kern w:val="2"/>
          <w:sz w:val="44"/>
          <w:szCs w:val="44"/>
        </w:rPr>
        <w:t>决算</w:t>
      </w:r>
    </w:p>
    <w:p>
      <w:pPr>
        <w:pStyle w:val="16"/>
        <w:spacing w:beforeLines="0" w:before="93"/>
        <w:jc w:val="center"/>
        <w:rPr>
          <w:rFonts w:ascii="Times New Roman" w:eastAsia="方正小标宋简体" w:cs="Times New Roman" w:hAnsi="Times New Roman"/>
          <w:kern w:val="2"/>
          <w:sz w:val="44"/>
          <w:szCs w:val="44"/>
        </w:rPr>
      </w:pPr>
      <w:r>
        <w:rPr>
          <w:rFonts w:ascii="Times New Roman" w:eastAsia="方正小标宋简体" w:cs="Times New Roman" w:hAnsi="Times New Roman"/>
          <w:kern w:val="2"/>
          <w:sz w:val="44"/>
          <w:szCs w:val="44"/>
        </w:rPr>
        <w:t>公开编制说明</w:t>
      </w:r>
    </w:p>
    <w:p>
      <w:pPr>
        <w:spacing w:line="600" w:lineRule="exact"/>
        <w:jc w:val="center"/>
        <w:outlineLvl w:val="0"/>
        <w:rPr>
          <w:rFonts w:ascii="Times New Roman" w:eastAsia="方正小标宋简体" w:cs="Times New Roman" w:hAnsi="Times New Roman"/>
          <w:sz w:val="72"/>
          <w:szCs w:val="72"/>
        </w:rPr>
      </w:pPr>
    </w:p>
    <w:p>
      <w:pPr>
        <w:pStyle w:val="27"/>
        <w:rPr>
          <w:rFonts w:ascii="Times New Roman" w:cs="Times New Roman" w:hAnsi="Times New Roman"/>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rPr>
          <w:rFonts w:ascii="Times New Roman" w:cs="Times New Roman" w:hAnsi="Times New Roman"/>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p>
    <w:p>
      <w:pPr>
        <w:pStyle w:val="16"/>
        <w:spacing w:beforeLines="0" w:before="93"/>
        <w:jc w:val="center"/>
        <w:rPr>
          <w:rFonts w:ascii="Times New Roman" w:eastAsia="方正小标宋简体" w:cs="Times New Roman" w:hAnsi="Times New Roman"/>
          <w:kern w:val="2"/>
          <w:sz w:val="44"/>
          <w:szCs w:val="44"/>
        </w:rPr>
      </w:pPr>
      <w:bookmarkStart w:id="6" w:name="_Toc15378442"/>
      <w:bookmarkStart w:id="7" w:name="_Toc15377426"/>
      <w:bookmarkStart w:id="8" w:name="_Toc15396476"/>
      <w:bookmarkStart w:id="9" w:name="_Toc15396598"/>
      <w:bookmarkStart w:id="10" w:name="_Toc15377194"/>
      <w:bookmarkEnd w:id="0"/>
      <w:bookmarkEnd w:id="1"/>
      <w:bookmarkEnd w:id="2"/>
      <w:bookmarkEnd w:id="3"/>
      <w:bookmarkEnd w:id="4"/>
      <w:r>
        <w:rPr>
          <w:rFonts w:ascii="Times New Roman" w:eastAsia="方正小标宋简体" w:cs="Times New Roman" w:hAnsi="Times New Roman"/>
          <w:kern w:val="2"/>
          <w:sz w:val="44"/>
          <w:szCs w:val="44"/>
        </w:rPr>
        <w:t>2025年度攀枝花市</w:t>
      </w:r>
      <w:bookmarkStart w:id="11" w:name="_Toc15306268"/>
      <w:bookmarkEnd w:id="5"/>
      <w:r>
        <w:rPr>
          <w:rFonts w:ascii="Times New Roman" w:eastAsia="方正小标宋简体" w:cs="Times New Roman" w:hAnsi="Times New Roman"/>
          <w:kern w:val="2"/>
          <w:sz w:val="44"/>
          <w:szCs w:val="44"/>
          <w:lang w:eastAsia="zh-CN"/>
        </w:rPr>
        <w:t>司法局</w:t>
      </w:r>
      <w:r>
        <w:rPr>
          <w:rFonts w:ascii="Times New Roman" w:eastAsia="方正小标宋简体" w:cs="Times New Roman" w:hAnsi="Times New Roman" w:hint="eastAsia"/>
          <w:kern w:val="2"/>
          <w:sz w:val="44"/>
          <w:szCs w:val="44"/>
          <w:lang w:eastAsia="zh-CN"/>
        </w:rPr>
        <w:t>单位</w:t>
      </w:r>
      <w:r>
        <w:rPr>
          <w:rFonts w:ascii="Times New Roman" w:eastAsia="方正小标宋简体" w:cs="Times New Roman" w:hAnsi="Times New Roman"/>
          <w:kern w:val="2"/>
          <w:sz w:val="44"/>
          <w:szCs w:val="44"/>
        </w:rPr>
        <w:t>决算</w:t>
      </w:r>
      <w:bookmarkEnd w:id="6"/>
      <w:bookmarkEnd w:id="7"/>
      <w:bookmarkEnd w:id="8"/>
      <w:bookmarkEnd w:id="9"/>
      <w:bookmarkEnd w:id="10"/>
      <w:bookmarkEnd w:id="11"/>
    </w:p>
    <w:p>
      <w:pPr>
        <w:widowControl/>
        <w:jc w:val="center"/>
        <w:rPr>
          <w:rFonts w:ascii="Times New Roman" w:eastAsia="黑体" w:cs="Times New Roman" w:hAnsi="Times New Roman"/>
          <w:sz w:val="48"/>
          <w:szCs w:val="48"/>
        </w:rPr>
        <w:sectPr>
          <w:footerReference w:type="default" r:id="rId4"/>
          <w:footerReference w:type="first" r:id="rId5"/>
          <w:pgSz w:w="11906" w:h="16838"/>
          <w:pgMar w:top="1440" w:right="1800" w:bottom="1440" w:left="1800" w:header="851" w:footer="992" w:gutter="0"/>
          <w:pgNumType w:start="1"/>
          <w:titlePg/>
          <w:docGrid w:type="lines" w:linePitch="312" w:charSpace="0"/>
        </w:sectPr>
      </w:pPr>
    </w:p>
    <w:p>
      <w:pPr>
        <w:widowControl/>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2"/>
        <w:tabs>
          <w:tab w:val="right" w:leader="dot" w:pos="8296"/>
        </w:tabs>
        <w:rPr>
          <w:rFonts w:ascii="Times New Roman" w:eastAsia="仿宋_GB2312" w:cs="Times New Roman" w:hAnsi="Times New Roman"/>
          <w:sz w:val="32"/>
          <w:szCs w:val="32"/>
        </w:rPr>
      </w:pPr>
      <w:r>
        <w:rPr>
          <w:rFonts w:ascii="Times New Roman" w:eastAsia="仿宋_GB2312" w:cs="Times New Roman" w:hAnsi="Times New Roman"/>
          <w:sz w:val="32"/>
          <w:szCs w:val="32"/>
        </w:rPr>
        <w:t>公开时间：2026年</w:t>
      </w:r>
      <w:r>
        <w:rPr>
          <w:rFonts w:ascii="Times New Roman" w:eastAsia="仿宋_GB2312" w:cs="Times New Roman" w:hAnsi="Times New Roman" w:hint="eastAsia"/>
          <w:sz w:val="32"/>
          <w:szCs w:val="32"/>
          <w:lang w:val="en-US" w:eastAsia="zh-CN"/>
        </w:rPr>
        <w:t>9</w:t>
      </w:r>
      <w:r>
        <w:rPr>
          <w:rFonts w:ascii="Times New Roman" w:eastAsia="仿宋_GB2312" w:cs="Times New Roman" w:hAnsi="Times New Roman"/>
          <w:sz w:val="32"/>
          <w:szCs w:val="32"/>
        </w:rPr>
        <w:t>月</w:t>
      </w:r>
      <w:r>
        <w:rPr>
          <w:rFonts w:ascii="Times New Roman" w:eastAsia="仿宋_GB2312"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3</w:t>
      </w:r>
      <w:bookmarkStart w:id="12" w:name="_GoBack"/>
      <w:bookmarkEnd w:id="12"/>
      <w:r>
        <w:rPr>
          <w:rFonts w:ascii="Times New Roman" w:eastAsia="仿宋_GB2312" w:cs="Times New Roman" w:hAnsi="Times New Roman"/>
          <w:sz w:val="32"/>
          <w:szCs w:val="32"/>
        </w:rPr>
        <w:t>日</w:t>
      </w:r>
    </w:p>
    <w:p>
      <w:pPr>
        <w:rPr>
          <w:rFonts w:ascii="Times New Roman" w:cs="Times New Roman" w:hAnsi="Times New Roman"/>
        </w:rPr>
      </w:pPr>
    </w:p>
    <w:sdt>
      <w:sdtPr>
        <w:rPr>
          <w:rFonts w:ascii="宋体" w:eastAsia="宋体" w:cs="Times New Roman"/>
          <w:kern w:val="2"/>
          <w:sz w:val="21"/>
          <w:szCs w:val="24"/>
          <w:lang w:val="en-US" w:eastAsia="zh-CN" w:bidi="ar-SA"/>
        </w:rPr>
        <w:id w:val="-1163212277"/>
        <w:docPartObj>
          <w:docPartGallery w:val="Table of Contents"/>
          <w:docPartUnique/>
        </w:docPartObj>
      </w:sdtPr>
      <w:sdtEndPr>
        <w:rPr>
          <w:sz w:val="20"/>
          <w:szCs w:val="20"/>
        </w:rPr>
      </w:sdtEndPr>
      <w:sdtContent>
        <w:bookmarkStart w:id="13" w:name="_Toc1222016267_WPSOffice_Type2" w:displacedByCustomXml="prev"/>
        <w:p>
          <w:pPr>
            <w:spacing w:before="0" w:after="0" w:line="240" w:lineRule="auto"/>
            <w:ind w:left="0" w:right="0" w:firstLine="0"/>
            <w:jc w:val="center"/>
          </w:pPr>
        </w:p>
        <w:p>
          <w:pPr>
            <w:pStyle w:val="36"/>
            <w:tabs>
              <w:tab w:val="right" w:leader="dot" w:pos="8306"/>
            </w:tabs>
            <w:rPr>
              <w:rFonts w:ascii="黑体" w:eastAsia="黑体" w:cs="黑体" w:hint="eastAsia"/>
              <w:sz w:val="32"/>
              <w:szCs w:val="32"/>
            </w:rPr>
          </w:pPr>
          <w:sdt>
            <w:sdtPr>
              <w:rPr>
                <w:rFonts w:ascii="黑体" w:eastAsia="黑体" w:cs="黑体" w:hint="eastAsia"/>
                <w:b/>
                <w:bCs/>
                <w:kern w:val="2"/>
                <w:sz w:val="32"/>
                <w:szCs w:val="32"/>
                <w:lang w:val="en-US" w:eastAsia="zh-CN" w:bidi="ar-SA"/>
              </w:rPr>
              <w:id w:val="1871769226"/>
              <w:placeholder>
                <w:docPart w:val="B364EAE552E54FA2AF253D4F079501A1"/>
              </w:placeholder>
            </w:sdtPr>
            <w:sdtEndPr>
              <w:rPr>
                <w:b w:val="0"/>
                <w:bCs w:val="0"/>
              </w:rPr>
            </w:sdtEndPr>
            <w:sdtContent>
              <w:r>
                <w:rPr>
                  <w:rFonts w:ascii="黑体" w:eastAsia="黑体" w:cs="黑体" w:hint="eastAsia"/>
                  <w:b w:val="0"/>
                  <w:bCs w:val="0"/>
                  <w:sz w:val="32"/>
                  <w:szCs w:val="32"/>
                </w:rPr>
                <w:fldChar w:fldCharType="begin"/>
              </w:r>
              <w:r>
                <w:instrText>HYPERLINK  \l "_Toc174104230_WPSOffice_Level1"</w:instrText>
              </w:r>
              <w:r>
                <w:rPr>
                  <w:rFonts w:ascii="黑体" w:eastAsia="黑体" w:cs="黑体" w:hint="eastAsia"/>
                  <w:b w:val="0"/>
                  <w:bCs w:val="0"/>
                  <w:sz w:val="32"/>
                  <w:szCs w:val="32"/>
                </w:rPr>
                <w:fldChar w:fldCharType="separate"/>
              </w:r>
              <w:r>
                <w:rPr>
                  <w:rFonts w:ascii="黑体" w:eastAsia="黑体" w:cs="黑体" w:hint="eastAsia"/>
                  <w:b w:val="0"/>
                  <w:bCs w:val="0"/>
                  <w:sz w:val="32"/>
                  <w:szCs w:val="32"/>
                </w:rPr>
                <w:t>第一部分  单位概况</w:t>
              </w:r>
            </w:sdtContent>
          </w:sdt>
          <w:r>
            <w:rPr>
              <w:rFonts w:ascii="黑体" w:eastAsia="黑体" w:cs="黑体" w:hint="eastAsia"/>
              <w:b w:val="0"/>
              <w:bCs w:val="0"/>
              <w:sz w:val="32"/>
              <w:szCs w:val="32"/>
            </w:rPr>
            <w:tab/>
          </w:r>
          <w:bookmarkStart w:id="14" w:name="_Toc174104230_WPSOffice_Level1Page"/>
          <w:r>
            <w:rPr>
              <w:rFonts w:ascii="仿宋_GB2312" w:eastAsia="仿宋_GB2312" w:cs="仿宋_GB2312" w:hint="eastAsia"/>
              <w:b w:val="0"/>
              <w:bCs w:val="0"/>
              <w:sz w:val="32"/>
              <w:szCs w:val="32"/>
            </w:rPr>
            <w:t>1</w:t>
          </w:r>
          <w:r>
            <w:rPr>
              <w:rFonts w:ascii="黑体" w:eastAsia="黑体" w:cs="黑体" w:hint="eastAsia"/>
              <w:b w:val="0"/>
              <w:bCs w:val="0"/>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477762017"/>
              <w:placeholder>
                <w:docPart w:val="B364EAE552E54FA2AF253D4F079501A1"/>
              </w:placeholder>
            </w:sdtPr>
            <w:sdtContent>
              <w:r>
                <w:rPr>
                  <w:rFonts w:ascii="仿宋_GB2312" w:eastAsia="仿宋_GB2312" w:cs="仿宋_GB2312" w:hint="eastAsia"/>
                  <w:sz w:val="32"/>
                  <w:szCs w:val="32"/>
                </w:rPr>
                <w:fldChar w:fldCharType="begin"/>
              </w:r>
              <w:r>
                <w:instrText>HYPERLINK  \l "_Toc1222016267_WPSOffice_Level2"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一、单位职责</w:t>
              </w:r>
            </w:sdtContent>
          </w:sdt>
          <w:r>
            <w:rPr>
              <w:rFonts w:ascii="仿宋_GB2312" w:eastAsia="仿宋_GB2312" w:cs="仿宋_GB2312" w:hint="eastAsia"/>
              <w:sz w:val="32"/>
              <w:szCs w:val="32"/>
            </w:rPr>
            <w:tab/>
          </w:r>
          <w:bookmarkStart w:id="15" w:name="_Toc1222016267_WPSOffice_Level2Page"/>
          <w:r>
            <w:rPr>
              <w:rFonts w:ascii="仿宋_GB2312" w:eastAsia="仿宋_GB2312" w:cs="仿宋_GB2312" w:hint="eastAsia"/>
              <w:sz w:val="32"/>
              <w:szCs w:val="32"/>
            </w:rPr>
            <w:t>1</w:t>
          </w:r>
          <w:r>
            <w:rPr>
              <w:rFonts w:ascii="仿宋_GB2312" w:eastAsia="仿宋_GB2312" w:cs="仿宋_GB2312" w:hint="eastAsia"/>
              <w:sz w:val="32"/>
              <w:szCs w:val="32"/>
            </w:rPr>
            <w:fldChar w:fldCharType="end"/>
          </w:r>
        </w:p>
        <w:p>
          <w:pPr>
            <w:pStyle w:val="37"/>
            <w:tabs>
              <w:tab w:val="right" w:leader="dot" w:pos="8306"/>
            </w:tabs>
            <w:rPr>
              <w:sz w:val="32"/>
              <w:szCs w:val="32"/>
            </w:rPr>
          </w:pPr>
          <w:sdt>
            <w:sdtPr>
              <w:rPr>
                <w:rFonts w:ascii="仿宋_GB2312" w:eastAsia="仿宋_GB2312" w:cs="仿宋_GB2312" w:hint="eastAsia"/>
                <w:kern w:val="2"/>
                <w:sz w:val="32"/>
                <w:szCs w:val="32"/>
                <w:lang w:val="en-US" w:eastAsia="zh-CN" w:bidi="ar-SA"/>
              </w:rPr>
              <w:id w:val="1758618860"/>
              <w:placeholder>
                <w:docPart w:val="B364EAE552E54FA2AF253D4F079501A1"/>
              </w:placeholder>
            </w:sdtPr>
            <w:sdtContent>
              <w:r>
                <w:rPr>
                  <w:rFonts w:ascii="仿宋_GB2312" w:eastAsia="仿宋_GB2312" w:cs="仿宋_GB2312" w:hint="eastAsia"/>
                  <w:sz w:val="32"/>
                  <w:szCs w:val="32"/>
                </w:rPr>
                <w:fldChar w:fldCharType="begin"/>
              </w:r>
              <w:r>
                <w:instrText>HYPERLINK  \l "_Toc1277231889_WPSOffice_Level2"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二、机构设置</w:t>
              </w:r>
            </w:sdtContent>
          </w:sdt>
          <w:r>
            <w:rPr>
              <w:rFonts w:ascii="仿宋_GB2312" w:eastAsia="仿宋_GB2312" w:cs="仿宋_GB2312" w:hint="eastAsia"/>
              <w:sz w:val="32"/>
              <w:szCs w:val="32"/>
            </w:rPr>
            <w:tab/>
          </w:r>
          <w:bookmarkStart w:id="16" w:name="_Toc1277231889_WPSOffice_Level2Page"/>
          <w:r>
            <w:rPr>
              <w:rFonts w:ascii="仿宋_GB2312" w:eastAsia="仿宋_GB2312" w:cs="仿宋_GB2312" w:hint="eastAsia"/>
              <w:sz w:val="32"/>
              <w:szCs w:val="32"/>
            </w:rPr>
            <w:t>3</w:t>
          </w:r>
          <w:r>
            <w:rPr>
              <w:rFonts w:ascii="仿宋_GB2312" w:eastAsia="仿宋_GB2312" w:cs="仿宋_GB2312" w:hint="eastAsia"/>
              <w:sz w:val="32"/>
              <w:szCs w:val="32"/>
            </w:rPr>
            <w:fldChar w:fldCharType="end"/>
          </w:r>
        </w:p>
        <w:p>
          <w:pPr>
            <w:pStyle w:val="36"/>
            <w:tabs>
              <w:tab w:val="right" w:leader="dot" w:pos="8306"/>
            </w:tabs>
            <w:rPr>
              <w:b w:val="0"/>
              <w:bCs w:val="0"/>
              <w:sz w:val="32"/>
              <w:szCs w:val="32"/>
            </w:rPr>
          </w:pPr>
          <w:sdt>
            <w:sdtPr>
              <w:rPr>
                <w:rFonts w:ascii="Times New Roman" w:eastAsia="宋体" w:cs="Times New Roman" w:hAnsi="Times New Roman"/>
                <w:b w:val="0"/>
                <w:bCs w:val="0"/>
                <w:kern w:val="2"/>
                <w:sz w:val="32"/>
                <w:szCs w:val="32"/>
                <w:lang w:val="en-US" w:eastAsia="zh-CN" w:bidi="ar-SA"/>
              </w:rPr>
              <w:id w:val="-605988351"/>
              <w:placeholder>
                <w:docPart w:val="B364EAE552E54FA2AF253D4F079501A1"/>
              </w:placeholder>
            </w:sdtPr>
            <w:sdtContent>
              <w:r>
                <w:rPr>
                  <w:rFonts w:ascii="Times New Roman" w:eastAsia="方正小标宋简体" w:cs="Times New Roman" w:hAnsi="Times New Roman"/>
                  <w:b w:val="0"/>
                  <w:bCs w:val="0"/>
                  <w:sz w:val="32"/>
                  <w:szCs w:val="32"/>
                </w:rPr>
                <w:fldChar w:fldCharType="begin"/>
              </w:r>
              <w:r>
                <w:instrText>HYPERLINK  \l "_Toc1222016267_WPSOffice_Level1"</w:instrText>
              </w:r>
              <w:r>
                <w:rPr>
                  <w:rFonts w:ascii="Times New Roman" w:eastAsia="方正小标宋简体" w:cs="Times New Roman" w:hAnsi="Times New Roman"/>
                  <w:b w:val="0"/>
                  <w:bCs w:val="0"/>
                  <w:sz w:val="32"/>
                  <w:szCs w:val="32"/>
                </w:rPr>
                <w:fldChar w:fldCharType="separate"/>
              </w:r>
              <w:r>
                <w:rPr>
                  <w:rFonts w:ascii="Times New Roman" w:eastAsia="方正小标宋简体" w:cs="Times New Roman" w:hAnsi="Times New Roman"/>
                  <w:b w:val="0"/>
                  <w:bCs w:val="0"/>
                  <w:sz w:val="32"/>
                  <w:szCs w:val="32"/>
                </w:rPr>
                <w:t>第二部分  2025年度</w:t>
              </w:r>
              <w:r>
                <w:rPr>
                  <w:rFonts w:ascii="Times New Roman" w:eastAsia="方正小标宋简体" w:cs="Times New Roman" w:hAnsi="Times New Roman" w:hint="eastAsia"/>
                  <w:b w:val="0"/>
                  <w:bCs w:val="0"/>
                  <w:sz w:val="32"/>
                  <w:szCs w:val="32"/>
                </w:rPr>
                <w:t>单位</w:t>
              </w:r>
              <w:r>
                <w:rPr>
                  <w:rFonts w:ascii="Times New Roman" w:eastAsia="方正小标宋简体" w:cs="Times New Roman" w:hAnsi="Times New Roman"/>
                  <w:b w:val="0"/>
                  <w:bCs w:val="0"/>
                  <w:sz w:val="32"/>
                  <w:szCs w:val="32"/>
                </w:rPr>
                <w:t>决算情况说明</w:t>
              </w:r>
            </w:sdtContent>
          </w:sdt>
          <w:r>
            <w:rPr>
              <w:b w:val="0"/>
              <w:bCs w:val="0"/>
              <w:sz w:val="32"/>
              <w:szCs w:val="32"/>
            </w:rPr>
            <w:tab/>
          </w:r>
          <w:bookmarkStart w:id="17" w:name="_Toc1222016267_WPSOffice_Level1Page"/>
          <w:r>
            <w:rPr>
              <w:b w:val="0"/>
              <w:bCs w:val="0"/>
              <w:sz w:val="32"/>
              <w:szCs w:val="32"/>
            </w:rPr>
            <w:t>4</w:t>
          </w:r>
          <w:r>
            <w:rPr>
              <w:rFonts w:ascii="Times New Roman" w:eastAsia="方正小标宋简体" w:cs="Times New Roman" w:hAnsi="Times New Roman"/>
              <w:b w:val="0"/>
              <w:bCs w:val="0"/>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839290593"/>
              <w:placeholder>
                <w:docPart w:val="B364EAE552E54FA2AF253D4F079501A1"/>
              </w:placeholder>
            </w:sdtPr>
            <w:sdtContent>
              <w:r>
                <w:rPr>
                  <w:rFonts w:ascii="仿宋_GB2312" w:eastAsia="仿宋_GB2312" w:cs="仿宋_GB2312" w:hint="eastAsia"/>
                  <w:sz w:val="32"/>
                  <w:szCs w:val="32"/>
                </w:rPr>
                <w:fldChar w:fldCharType="begin"/>
              </w:r>
              <w:r>
                <w:instrText>HYPERLINK  \l "_Toc392477811_WPSOffice_Level2"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一、收入支出决算总体情况说明</w:t>
              </w:r>
            </w:sdtContent>
          </w:sdt>
          <w:r>
            <w:rPr>
              <w:rFonts w:ascii="仿宋_GB2312" w:eastAsia="仿宋_GB2312" w:cs="仿宋_GB2312" w:hint="eastAsia"/>
              <w:sz w:val="32"/>
              <w:szCs w:val="32"/>
            </w:rPr>
            <w:tab/>
          </w:r>
          <w:bookmarkStart w:id="18" w:name="_Toc392477811_WPSOffice_Level2Page"/>
          <w:r>
            <w:rPr>
              <w:rFonts w:ascii="仿宋_GB2312" w:eastAsia="仿宋_GB2312" w:cs="仿宋_GB2312" w:hint="eastAsia"/>
              <w:sz w:val="32"/>
              <w:szCs w:val="32"/>
            </w:rPr>
            <w:t>4</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989396313"/>
              <w:placeholder>
                <w:docPart w:val="B364EAE552E54FA2AF253D4F079501A1"/>
              </w:placeholder>
            </w:sdtPr>
            <w:sdtContent>
              <w:r>
                <w:rPr>
                  <w:rFonts w:ascii="仿宋_GB2312" w:eastAsia="仿宋_GB2312" w:cs="仿宋_GB2312" w:hint="eastAsia"/>
                  <w:sz w:val="32"/>
                  <w:szCs w:val="32"/>
                </w:rPr>
                <w:fldChar w:fldCharType="begin"/>
              </w:r>
              <w:r>
                <w:instrText>HYPERLINK  \l "_Toc1581028258_WPSOffice_Level2"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二、收入决算情况说明</w:t>
              </w:r>
            </w:sdtContent>
          </w:sdt>
          <w:r>
            <w:rPr>
              <w:rFonts w:ascii="仿宋_GB2312" w:eastAsia="仿宋_GB2312" w:cs="仿宋_GB2312" w:hint="eastAsia"/>
              <w:sz w:val="32"/>
              <w:szCs w:val="32"/>
            </w:rPr>
            <w:tab/>
          </w:r>
          <w:bookmarkStart w:id="19" w:name="_Toc1581028258_WPSOffice_Level2Page"/>
          <w:r>
            <w:rPr>
              <w:rFonts w:ascii="仿宋_GB2312" w:eastAsia="仿宋_GB2312" w:cs="仿宋_GB2312" w:hint="eastAsia"/>
              <w:sz w:val="32"/>
              <w:szCs w:val="32"/>
            </w:rPr>
            <w:t>4</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321374343"/>
              <w:placeholder>
                <w:docPart w:val="B364EAE552E54FA2AF253D4F079501A1"/>
              </w:placeholder>
            </w:sdtPr>
            <w:sdtContent>
              <w:r>
                <w:rPr>
                  <w:rFonts w:ascii="仿宋_GB2312" w:eastAsia="仿宋_GB2312" w:cs="仿宋_GB2312" w:hint="eastAsia"/>
                  <w:sz w:val="32"/>
                  <w:szCs w:val="32"/>
                </w:rPr>
                <w:fldChar w:fldCharType="begin"/>
              </w:r>
              <w:r>
                <w:instrText>HYPERLINK  \l "_Toc2061796420_WPSOffice_Level2"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三、支出决算情况说明</w:t>
              </w:r>
            </w:sdtContent>
          </w:sdt>
          <w:r>
            <w:rPr>
              <w:rFonts w:ascii="仿宋_GB2312" w:eastAsia="仿宋_GB2312" w:cs="仿宋_GB2312" w:hint="eastAsia"/>
              <w:sz w:val="32"/>
              <w:szCs w:val="32"/>
            </w:rPr>
            <w:tab/>
          </w:r>
          <w:bookmarkStart w:id="20" w:name="_Toc2061796420_WPSOffice_Level2Page"/>
          <w:r>
            <w:rPr>
              <w:rFonts w:ascii="仿宋_GB2312" w:eastAsia="仿宋_GB2312" w:cs="仿宋_GB2312" w:hint="eastAsia"/>
              <w:sz w:val="32"/>
              <w:szCs w:val="32"/>
            </w:rPr>
            <w:t>5</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571726639"/>
              <w:placeholder>
                <w:docPart w:val="B364EAE552E54FA2AF253D4F079501A1"/>
              </w:placeholder>
            </w:sdtPr>
            <w:sdtContent>
              <w:r>
                <w:rPr>
                  <w:rFonts w:ascii="仿宋_GB2312" w:eastAsia="仿宋_GB2312" w:cs="仿宋_GB2312" w:hint="eastAsia"/>
                  <w:sz w:val="32"/>
                  <w:szCs w:val="32"/>
                </w:rPr>
                <w:fldChar w:fldCharType="begin"/>
              </w:r>
              <w:r>
                <w:instrText>HYPERLINK  \l "_Toc1486806826_WPSOffice_Level2"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四、财政拨款收入支出决算总体情况说明</w:t>
              </w:r>
            </w:sdtContent>
          </w:sdt>
          <w:r>
            <w:rPr>
              <w:rFonts w:ascii="仿宋_GB2312" w:eastAsia="仿宋_GB2312" w:cs="仿宋_GB2312" w:hint="eastAsia"/>
              <w:sz w:val="32"/>
              <w:szCs w:val="32"/>
            </w:rPr>
            <w:tab/>
          </w:r>
          <w:bookmarkStart w:id="21" w:name="_Toc1486806826_WPSOffice_Level2Page"/>
          <w:r>
            <w:rPr>
              <w:rFonts w:ascii="仿宋_GB2312" w:eastAsia="仿宋_GB2312" w:cs="仿宋_GB2312" w:hint="eastAsia"/>
              <w:sz w:val="32"/>
              <w:szCs w:val="32"/>
            </w:rPr>
            <w:t>5</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828890920"/>
              <w:placeholder>
                <w:docPart w:val="B364EAE552E54FA2AF253D4F079501A1"/>
              </w:placeholder>
            </w:sdtPr>
            <w:sdtContent>
              <w:r>
                <w:rPr>
                  <w:rFonts w:ascii="仿宋_GB2312" w:eastAsia="仿宋_GB2312" w:cs="仿宋_GB2312" w:hint="eastAsia"/>
                  <w:sz w:val="32"/>
                  <w:szCs w:val="32"/>
                </w:rPr>
                <w:fldChar w:fldCharType="begin"/>
              </w:r>
              <w:r>
                <w:instrText>HYPERLINK  \l "_Toc1443344295_WPSOffice_Level2"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五、一般公共预算财政拨款支出决算情况说明</w:t>
              </w:r>
            </w:sdtContent>
          </w:sdt>
          <w:r>
            <w:rPr>
              <w:rFonts w:ascii="仿宋_GB2312" w:eastAsia="仿宋_GB2312" w:cs="仿宋_GB2312" w:hint="eastAsia"/>
              <w:sz w:val="32"/>
              <w:szCs w:val="32"/>
            </w:rPr>
            <w:tab/>
          </w:r>
          <w:bookmarkStart w:id="22" w:name="_Toc1443344295_WPSOffice_Level2Page"/>
          <w:r>
            <w:rPr>
              <w:rFonts w:ascii="仿宋_GB2312" w:eastAsia="仿宋_GB2312" w:cs="仿宋_GB2312" w:hint="eastAsia"/>
              <w:sz w:val="32"/>
              <w:szCs w:val="32"/>
            </w:rPr>
            <w:t>6</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152772328"/>
              <w:placeholder>
                <w:docPart w:val="B364EAE552E54FA2AF253D4F079501A1"/>
              </w:placeholder>
            </w:sdtPr>
            <w:sdtContent>
              <w:r>
                <w:rPr>
                  <w:rFonts w:ascii="仿宋_GB2312" w:eastAsia="仿宋_GB2312" w:cs="仿宋_GB2312" w:hint="eastAsia"/>
                  <w:sz w:val="32"/>
                  <w:szCs w:val="32"/>
                </w:rPr>
                <w:fldChar w:fldCharType="begin"/>
              </w:r>
              <w:r>
                <w:instrText>HYPERLINK  \l "_Toc37076775_WPSOffice_Level2"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六、一般公共预算财政拨款基本支出决算情况说明</w:t>
              </w:r>
            </w:sdtContent>
          </w:sdt>
          <w:r>
            <w:rPr>
              <w:rFonts w:ascii="仿宋_GB2312" w:eastAsia="仿宋_GB2312" w:cs="仿宋_GB2312" w:hint="eastAsia"/>
              <w:sz w:val="32"/>
              <w:szCs w:val="32"/>
            </w:rPr>
            <w:tab/>
          </w:r>
          <w:bookmarkStart w:id="23" w:name="_Toc37076775_WPSOffice_Level2Page"/>
          <w:r>
            <w:rPr>
              <w:rFonts w:ascii="仿宋_GB2312" w:eastAsia="仿宋_GB2312" w:cs="仿宋_GB2312" w:hint="eastAsia"/>
              <w:sz w:val="32"/>
              <w:szCs w:val="32"/>
            </w:rPr>
            <w:t>10</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2023079518"/>
              <w:placeholder>
                <w:docPart w:val="B364EAE552E54FA2AF253D4F079501A1"/>
              </w:placeholder>
            </w:sdtPr>
            <w:sdtContent>
              <w:r>
                <w:rPr>
                  <w:rFonts w:ascii="仿宋_GB2312" w:eastAsia="仿宋_GB2312" w:cs="仿宋_GB2312" w:hint="eastAsia"/>
                  <w:sz w:val="32"/>
                  <w:szCs w:val="32"/>
                </w:rPr>
                <w:fldChar w:fldCharType="begin"/>
              </w:r>
              <w:r>
                <w:instrText>HYPERLINK  \l "_Toc1183779435_WPSOffice_Level2"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七、财政拨款“三公”经费支出决算情况说明</w:t>
              </w:r>
            </w:sdtContent>
          </w:sdt>
          <w:r>
            <w:rPr>
              <w:rFonts w:ascii="仿宋_GB2312" w:eastAsia="仿宋_GB2312" w:cs="仿宋_GB2312" w:hint="eastAsia"/>
              <w:sz w:val="32"/>
              <w:szCs w:val="32"/>
            </w:rPr>
            <w:tab/>
          </w:r>
          <w:bookmarkStart w:id="24" w:name="_Toc1183779435_WPSOffice_Level2Page"/>
          <w:r>
            <w:rPr>
              <w:rFonts w:ascii="仿宋_GB2312" w:eastAsia="仿宋_GB2312" w:cs="仿宋_GB2312" w:hint="eastAsia"/>
              <w:sz w:val="32"/>
              <w:szCs w:val="32"/>
            </w:rPr>
            <w:t>10</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1910123398"/>
              <w:placeholder>
                <w:docPart w:val="B364EAE552E54FA2AF253D4F079501A1"/>
              </w:placeholder>
            </w:sdtPr>
            <w:sdtContent>
              <w:r>
                <w:rPr>
                  <w:rFonts w:ascii="仿宋_GB2312" w:eastAsia="仿宋_GB2312" w:cs="仿宋_GB2312" w:hint="eastAsia"/>
                  <w:sz w:val="32"/>
                  <w:szCs w:val="32"/>
                </w:rPr>
                <w:fldChar w:fldCharType="begin"/>
              </w:r>
              <w:r>
                <w:instrText>HYPERLINK  \l "_Toc889093064_WPSOffice_Level2"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八、政府性基金预算支出决算情况说明</w:t>
              </w:r>
            </w:sdtContent>
          </w:sdt>
          <w:r>
            <w:rPr>
              <w:rFonts w:ascii="仿宋_GB2312" w:eastAsia="仿宋_GB2312" w:cs="仿宋_GB2312" w:hint="eastAsia"/>
              <w:sz w:val="32"/>
              <w:szCs w:val="32"/>
            </w:rPr>
            <w:tab/>
          </w:r>
          <w:bookmarkStart w:id="25" w:name="_Toc889093064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7"/>
            <w:tabs>
              <w:tab w:val="right" w:leader="dot" w:pos="8306"/>
            </w:tabs>
            <w:rPr>
              <w:rFonts w:ascii="仿宋_GB2312" w:eastAsia="仿宋_GB2312" w:cs="仿宋_GB2312" w:hint="eastAsia"/>
              <w:sz w:val="32"/>
              <w:szCs w:val="32"/>
            </w:rPr>
          </w:pPr>
          <w:sdt>
            <w:sdtPr>
              <w:rPr>
                <w:rFonts w:ascii="仿宋_GB2312" w:eastAsia="仿宋_GB2312" w:cs="仿宋_GB2312" w:hint="eastAsia"/>
                <w:kern w:val="2"/>
                <w:sz w:val="32"/>
                <w:szCs w:val="32"/>
                <w:lang w:val="en-US" w:eastAsia="zh-CN" w:bidi="ar-SA"/>
              </w:rPr>
              <w:id w:val="-250434760"/>
              <w:placeholder>
                <w:docPart w:val="B364EAE552E54FA2AF253D4F079501A1"/>
              </w:placeholder>
            </w:sdtPr>
            <w:sdtContent>
              <w:r>
                <w:rPr>
                  <w:rFonts w:ascii="仿宋_GB2312" w:eastAsia="仿宋_GB2312" w:cs="仿宋_GB2312" w:hint="eastAsia"/>
                  <w:sz w:val="32"/>
                  <w:szCs w:val="32"/>
                </w:rPr>
                <w:fldChar w:fldCharType="begin"/>
              </w:r>
              <w:r>
                <w:instrText>HYPERLINK  \l "_Toc1627460423_WPSOffice_Level2"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九、国有资本经营预算支出决算情况说明</w:t>
              </w:r>
            </w:sdtContent>
          </w:sdt>
          <w:r>
            <w:rPr>
              <w:rFonts w:ascii="仿宋_GB2312" w:eastAsia="仿宋_GB2312" w:cs="仿宋_GB2312" w:hint="eastAsia"/>
              <w:sz w:val="32"/>
              <w:szCs w:val="32"/>
            </w:rPr>
            <w:tab/>
          </w:r>
          <w:bookmarkStart w:id="26" w:name="_Toc1627460423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7"/>
            <w:tabs>
              <w:tab w:val="right" w:leader="dot" w:pos="8306"/>
            </w:tabs>
            <w:rPr>
              <w:sz w:val="32"/>
              <w:szCs w:val="32"/>
            </w:rPr>
          </w:pPr>
          <w:sdt>
            <w:sdtPr>
              <w:rPr>
                <w:rFonts w:ascii="仿宋_GB2312" w:eastAsia="仿宋_GB2312" w:cs="仿宋_GB2312" w:hint="eastAsia"/>
                <w:kern w:val="2"/>
                <w:sz w:val="32"/>
                <w:szCs w:val="32"/>
                <w:lang w:val="en-US" w:eastAsia="zh-CN" w:bidi="ar-SA"/>
              </w:rPr>
              <w:id w:val="700175882"/>
              <w:placeholder>
                <w:docPart w:val="B364EAE552E54FA2AF253D4F079501A1"/>
              </w:placeholder>
            </w:sdtPr>
            <w:sdtContent>
              <w:r>
                <w:rPr>
                  <w:rFonts w:ascii="仿宋_GB2312" w:eastAsia="仿宋_GB2312" w:cs="仿宋_GB2312" w:hint="eastAsia"/>
                  <w:sz w:val="32"/>
                  <w:szCs w:val="32"/>
                </w:rPr>
                <w:fldChar w:fldCharType="begin"/>
              </w:r>
              <w:r>
                <w:instrText>HYPERLINK  \l "_Toc1320981108_WPSOffice_Level2"</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十、其他重要事项的情况说明</w:t>
              </w:r>
            </w:sdtContent>
          </w:sdt>
          <w:r>
            <w:rPr>
              <w:rFonts w:ascii="仿宋_GB2312" w:eastAsia="仿宋_GB2312" w:cs="仿宋_GB2312" w:hint="eastAsia"/>
              <w:sz w:val="32"/>
              <w:szCs w:val="32"/>
            </w:rPr>
            <w:tab/>
          </w:r>
          <w:bookmarkStart w:id="27" w:name="_Toc1320981108_WPSOffice_Level2Page"/>
          <w:r>
            <w:rPr>
              <w:rFonts w:ascii="仿宋_GB2312" w:eastAsia="仿宋_GB2312" w:cs="仿宋_GB2312" w:hint="eastAsia"/>
              <w:sz w:val="32"/>
              <w:szCs w:val="32"/>
            </w:rPr>
            <w:t>13</w:t>
          </w:r>
          <w:r>
            <w:rPr>
              <w:rFonts w:ascii="仿宋_GB2312" w:eastAsia="仿宋_GB2312" w:cs="仿宋_GB2312" w:hint="eastAsia"/>
              <w:sz w:val="32"/>
              <w:szCs w:val="32"/>
            </w:rPr>
            <w:fldChar w:fldCharType="end"/>
          </w:r>
        </w:p>
        <w:p>
          <w:pPr>
            <w:pStyle w:val="36"/>
            <w:tabs>
              <w:tab w:val="right" w:leader="dot" w:pos="8306"/>
            </w:tabs>
            <w:rPr>
              <w:sz w:val="32"/>
              <w:szCs w:val="32"/>
            </w:rPr>
          </w:pPr>
          <w:sdt>
            <w:sdtPr>
              <w:rPr>
                <w:rFonts w:ascii="Times New Roman" w:eastAsia="宋体" w:cs="Times New Roman" w:hAnsi="Times New Roman"/>
                <w:b/>
                <w:bCs/>
                <w:kern w:val="2"/>
                <w:sz w:val="32"/>
                <w:szCs w:val="32"/>
                <w:lang w:val="en-US" w:eastAsia="zh-CN" w:bidi="ar-SA"/>
              </w:rPr>
              <w:id w:val="-1160350994"/>
              <w:placeholder>
                <w:docPart w:val="B364EAE552E54FA2AF253D4F079501A1"/>
              </w:placeholder>
            </w:sdtPr>
            <w:sdtEndPr>
              <w:rPr>
                <w:b w:val="0"/>
                <w:bCs w:val="0"/>
              </w:rPr>
            </w:sdtEndPr>
            <w:sdtContent>
              <w:r>
                <w:rPr>
                  <w:rFonts w:ascii="Times New Roman" w:eastAsia="黑体" w:cs="Times New Roman" w:hAnsi="Times New Roman"/>
                  <w:b w:val="0"/>
                  <w:bCs w:val="0"/>
                  <w:sz w:val="32"/>
                  <w:szCs w:val="32"/>
                </w:rPr>
                <w:fldChar w:fldCharType="begin"/>
              </w:r>
              <w:r>
                <w:instrText>HYPERLINK  \l "_Toc1277231889_WPSOffice_Level1"</w:instrText>
              </w:r>
              <w:r>
                <w:rPr>
                  <w:rFonts w:ascii="Times New Roman" w:eastAsia="黑体" w:cs="Times New Roman" w:hAnsi="Times New Roman"/>
                  <w:b w:val="0"/>
                  <w:bCs w:val="0"/>
                  <w:sz w:val="32"/>
                  <w:szCs w:val="32"/>
                </w:rPr>
                <w:fldChar w:fldCharType="separate"/>
              </w:r>
              <w:r>
                <w:rPr>
                  <w:rFonts w:ascii="Times New Roman" w:eastAsia="黑体" w:cs="Times New Roman" w:hAnsi="Times New Roman"/>
                  <w:b w:val="0"/>
                  <w:bCs w:val="0"/>
                  <w:sz w:val="32"/>
                  <w:szCs w:val="32"/>
                </w:rPr>
                <w:t>第三部分  名词解释</w:t>
              </w:r>
            </w:sdtContent>
          </w:sdt>
          <w:r>
            <w:rPr>
              <w:b w:val="0"/>
              <w:bCs w:val="0"/>
              <w:sz w:val="32"/>
              <w:szCs w:val="32"/>
            </w:rPr>
            <w:tab/>
          </w:r>
          <w:bookmarkStart w:id="28" w:name="_Toc1277231889_WPSOffice_Level1Page"/>
          <w:r>
            <w:rPr>
              <w:b w:val="0"/>
              <w:bCs w:val="0"/>
              <w:sz w:val="32"/>
              <w:szCs w:val="32"/>
            </w:rPr>
            <w:t>15</w:t>
          </w:r>
          <w:r>
            <w:rPr>
              <w:rFonts w:ascii="Times New Roman" w:eastAsia="黑体" w:cs="Times New Roman" w:hAnsi="Times New Roman"/>
              <w:b w:val="0"/>
              <w:bCs w:val="0"/>
              <w:sz w:val="32"/>
              <w:szCs w:val="32"/>
            </w:rPr>
            <w:fldChar w:fldCharType="end"/>
          </w:r>
        </w:p>
        <w:p>
          <w:pPr>
            <w:pStyle w:val="36"/>
            <w:tabs>
              <w:tab w:val="right" w:leader="dot" w:pos="8306"/>
            </w:tabs>
            <w:rPr>
              <w:sz w:val="32"/>
              <w:szCs w:val="32"/>
            </w:rPr>
          </w:pPr>
          <w:sdt>
            <w:sdtPr>
              <w:rPr>
                <w:rFonts w:ascii="Times New Roman" w:eastAsia="宋体" w:cs="Times New Roman" w:hAnsi="Times New Roman"/>
                <w:b/>
                <w:bCs/>
                <w:kern w:val="2"/>
                <w:sz w:val="32"/>
                <w:szCs w:val="32"/>
                <w:lang w:val="en-US" w:eastAsia="zh-CN" w:bidi="ar-SA"/>
              </w:rPr>
              <w:id w:val="592895494"/>
              <w:placeholder>
                <w:docPart w:val="B364EAE552E54FA2AF253D4F079501A1"/>
              </w:placeholder>
            </w:sdtPr>
            <w:sdtEndPr>
              <w:rPr>
                <w:b w:val="0"/>
                <w:bCs w:val="0"/>
              </w:rPr>
            </w:sdtEndPr>
            <w:sdtContent>
              <w:r>
                <w:rPr>
                  <w:rFonts w:ascii="Times New Roman" w:eastAsia="黑体" w:cs="Times New Roman" w:hAnsi="Times New Roman"/>
                  <w:b w:val="0"/>
                  <w:bCs w:val="0"/>
                  <w:sz w:val="32"/>
                  <w:szCs w:val="32"/>
                </w:rPr>
                <w:fldChar w:fldCharType="begin"/>
              </w:r>
              <w:r>
                <w:instrText>HYPERLINK  \l "_Toc392477811_WPSOffice_Level1"</w:instrText>
              </w:r>
              <w:r>
                <w:rPr>
                  <w:rFonts w:ascii="Times New Roman" w:eastAsia="黑体" w:cs="Times New Roman" w:hAnsi="Times New Roman"/>
                  <w:b w:val="0"/>
                  <w:bCs w:val="0"/>
                  <w:sz w:val="32"/>
                  <w:szCs w:val="32"/>
                </w:rPr>
                <w:fldChar w:fldCharType="separate"/>
              </w:r>
              <w:r>
                <w:rPr>
                  <w:rFonts w:ascii="Times New Roman" w:eastAsia="黑体" w:cs="Times New Roman" w:hAnsi="Times New Roman"/>
                  <w:b w:val="0"/>
                  <w:bCs w:val="0"/>
                  <w:sz w:val="32"/>
                  <w:szCs w:val="32"/>
                </w:rPr>
                <w:t>第四部分  附件</w:t>
              </w:r>
            </w:sdtContent>
          </w:sdt>
          <w:r>
            <w:rPr>
              <w:b w:val="0"/>
              <w:bCs w:val="0"/>
              <w:sz w:val="32"/>
              <w:szCs w:val="32"/>
            </w:rPr>
            <w:tab/>
          </w:r>
          <w:bookmarkStart w:id="29" w:name="_Toc392477811_WPSOffice_Level1Page"/>
          <w:r>
            <w:rPr>
              <w:b w:val="0"/>
              <w:bCs w:val="0"/>
              <w:sz w:val="32"/>
              <w:szCs w:val="32"/>
            </w:rPr>
            <w:t>19</w:t>
          </w:r>
          <w:r>
            <w:rPr>
              <w:rFonts w:ascii="Times New Roman" w:eastAsia="黑体" w:cs="Times New Roman" w:hAnsi="Times New Roman"/>
              <w:b w:val="0"/>
              <w:bCs w:val="0"/>
              <w:sz w:val="32"/>
              <w:szCs w:val="32"/>
            </w:rPr>
            <w:fldChar w:fldCharType="end"/>
          </w:r>
        </w:p>
        <w:p>
          <w:pPr>
            <w:pStyle w:val="36"/>
            <w:tabs>
              <w:tab w:val="right" w:leader="dot" w:pos="8306"/>
            </w:tabs>
            <w:rPr>
              <w:b w:val="0"/>
              <w:bCs w:val="0"/>
              <w:sz w:val="32"/>
              <w:szCs w:val="32"/>
            </w:rPr>
          </w:pPr>
          <w:sdt>
            <w:sdtPr>
              <w:rPr>
                <w:rFonts w:ascii="Times New Roman" w:eastAsia="宋体" w:cs="Times New Roman" w:hAnsi="Times New Roman"/>
                <w:b w:val="0"/>
                <w:bCs w:val="0"/>
                <w:kern w:val="2"/>
                <w:sz w:val="32"/>
                <w:szCs w:val="32"/>
                <w:lang w:val="en-US" w:eastAsia="zh-CN" w:bidi="ar-SA"/>
              </w:rPr>
              <w:id w:val="557833798"/>
              <w:placeholder>
                <w:docPart w:val="B364EAE552E54FA2AF253D4F079501A1"/>
              </w:placeholder>
            </w:sdtPr>
            <w:sdtContent>
              <w:r>
                <w:rPr>
                  <w:rFonts w:ascii="Times New Roman" w:eastAsia="黑体" w:cs="Times New Roman" w:hAnsi="Times New Roman"/>
                  <w:b w:val="0"/>
                  <w:bCs w:val="0"/>
                  <w:sz w:val="32"/>
                  <w:szCs w:val="32"/>
                </w:rPr>
                <w:fldChar w:fldCharType="begin"/>
              </w:r>
              <w:r>
                <w:instrText>HYPERLINK  \l "_Toc1581028258_WPSOffice_Level1"</w:instrText>
              </w:r>
              <w:r>
                <w:rPr>
                  <w:rFonts w:ascii="Times New Roman" w:eastAsia="黑体" w:cs="Times New Roman" w:hAnsi="Times New Roman"/>
                  <w:b w:val="0"/>
                  <w:bCs w:val="0"/>
                  <w:sz w:val="32"/>
                  <w:szCs w:val="32"/>
                </w:rPr>
                <w:fldChar w:fldCharType="separate"/>
              </w:r>
              <w:r>
                <w:rPr>
                  <w:rFonts w:ascii="Times New Roman" w:eastAsia="黑体" w:cs="Times New Roman" w:hAnsi="Times New Roman"/>
                  <w:b w:val="0"/>
                  <w:bCs w:val="0"/>
                  <w:sz w:val="32"/>
                  <w:szCs w:val="32"/>
                </w:rPr>
                <w:t>第五部分 附表</w:t>
              </w:r>
            </w:sdtContent>
          </w:sdt>
          <w:r>
            <w:rPr>
              <w:b w:val="0"/>
              <w:bCs w:val="0"/>
              <w:sz w:val="32"/>
              <w:szCs w:val="32"/>
            </w:rPr>
            <w:tab/>
          </w:r>
          <w:bookmarkStart w:id="30" w:name="_Toc1581028258_WPSOffice_Level1Page"/>
          <w:r>
            <w:rPr>
              <w:b w:val="0"/>
              <w:bCs w:val="0"/>
              <w:sz w:val="32"/>
              <w:szCs w:val="32"/>
            </w:rPr>
            <w:t>29</w:t>
          </w:r>
          <w:r>
            <w:rPr>
              <w:rFonts w:ascii="Times New Roman" w:eastAsia="黑体" w:cs="Times New Roman" w:hAnsi="Times New Roman"/>
              <w:b w:val="0"/>
              <w:bCs w:val="0"/>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1610769925"/>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"_Toc783930387_WPSOffice_Level2"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一、收入支出决算总表</w:t>
              </w:r>
            </w:sdtContent>
          </w:sdt>
          <w:r>
            <w:rPr>
              <w:sz w:val="32"/>
              <w:szCs w:val="32"/>
            </w:rPr>
            <w:tab/>
          </w:r>
          <w:bookmarkStart w:id="31" w:name="_Toc783930387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sectPr>
              <w:footerReference w:type="default" r:id="rId6"/>
              <w:footerReference w:type="first" r:id="rId7"/>
              <w:pgSz w:w="11906" w:h="16838"/>
              <w:pgMar w:top="1440" w:right="1800" w:bottom="1440" w:left="1800" w:header="851" w:footer="992" w:gutter="0"/>
              <w:pgNumType w:start="1"/>
              <w:docGrid w:type="lines" w:linePitch="312" w:charSpace="0"/>
            </w:sectPr>
          </w:pP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1860604259"/>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"_Toc2093182486_WPSOffice_Level2"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二、收入决算表</w:t>
              </w:r>
            </w:sdtContent>
          </w:sdt>
          <w:r>
            <w:rPr>
              <w:sz w:val="32"/>
              <w:szCs w:val="32"/>
            </w:rPr>
            <w:tab/>
          </w:r>
          <w:bookmarkStart w:id="32" w:name="_Toc2093182486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960370631"/>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"_Toc278943556_WPSOffice_Level2"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三、支出决算表</w:t>
              </w:r>
            </w:sdtContent>
          </w:sdt>
          <w:r>
            <w:rPr>
              <w:sz w:val="32"/>
              <w:szCs w:val="32"/>
            </w:rPr>
            <w:tab/>
          </w:r>
          <w:bookmarkStart w:id="33" w:name="_Toc278943556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1747720256"/>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"_Toc1458299552_WPSOffice_Level2"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四、财政拨款收入支出决算总表</w:t>
              </w:r>
            </w:sdtContent>
          </w:sdt>
          <w:r>
            <w:rPr>
              <w:sz w:val="32"/>
              <w:szCs w:val="32"/>
            </w:rPr>
            <w:tab/>
          </w:r>
          <w:bookmarkStart w:id="34" w:name="_Toc1458299552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646846545"/>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"_Toc593680750_WPSOffice_Level2"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五、财政拨款支出决算明细表</w:t>
              </w:r>
            </w:sdtContent>
          </w:sdt>
          <w:r>
            <w:rPr>
              <w:sz w:val="32"/>
              <w:szCs w:val="32"/>
            </w:rPr>
            <w:tab/>
          </w:r>
          <w:bookmarkStart w:id="35" w:name="_Toc593680750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1594924780"/>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"_Toc230516533_WPSOffice_Level2"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六、一般公共预算财政拨款支出决算表</w:t>
              </w:r>
            </w:sdtContent>
          </w:sdt>
          <w:r>
            <w:rPr>
              <w:sz w:val="32"/>
              <w:szCs w:val="32"/>
            </w:rPr>
            <w:tab/>
          </w:r>
          <w:bookmarkStart w:id="36" w:name="_Toc230516533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865987875"/>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"_Toc819428994_WPSOffice_Level2"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七、一般公共预算财政拨款支出决算明细表</w:t>
              </w:r>
            </w:sdtContent>
          </w:sdt>
          <w:r>
            <w:rPr>
              <w:sz w:val="32"/>
              <w:szCs w:val="32"/>
            </w:rPr>
            <w:tab/>
          </w:r>
          <w:bookmarkStart w:id="37" w:name="_Toc819428994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771574442"/>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"_Toc300421577_WPSOffice_Level2"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八、一般公共预算财政拨款基本支出决算表</w:t>
              </w:r>
            </w:sdtContent>
          </w:sdt>
          <w:r>
            <w:rPr>
              <w:sz w:val="32"/>
              <w:szCs w:val="32"/>
            </w:rPr>
            <w:tab/>
          </w:r>
          <w:bookmarkStart w:id="38" w:name="_Toc300421577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714694011"/>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"_Toc547693826_WPSOffice_Level2"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九、一般公共预算财政拨款项目支出决算表</w:t>
              </w:r>
            </w:sdtContent>
          </w:sdt>
          <w:r>
            <w:rPr>
              <w:sz w:val="32"/>
              <w:szCs w:val="32"/>
            </w:rPr>
            <w:tab/>
          </w:r>
          <w:bookmarkStart w:id="39" w:name="_Toc547693826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283242844"/>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"_Toc168443405_WPSOffice_Level2"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十、政府性基金预算财政拨款收入支出决算表</w:t>
              </w:r>
            </w:sdtContent>
          </w:sdt>
          <w:r>
            <w:rPr>
              <w:sz w:val="32"/>
              <w:szCs w:val="32"/>
            </w:rPr>
            <w:tab/>
          </w:r>
          <w:bookmarkStart w:id="40" w:name="_Toc168443405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1097418072"/>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"_Toc1694648202_WPSOffice_Level2"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十一、国有资本经营预算财政拨款收入支出决算表</w:t>
              </w:r>
            </w:sdtContent>
          </w:sdt>
          <w:r>
            <w:rPr>
              <w:sz w:val="32"/>
              <w:szCs w:val="32"/>
            </w:rPr>
            <w:tab/>
          </w:r>
          <w:bookmarkStart w:id="41" w:name="_Toc1694648202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rPr>
              <w:sz w:val="32"/>
              <w:szCs w:val="32"/>
            </w:rPr>
          </w:pPr>
          <w:sdt>
            <w:sdtPr>
              <w:rPr>
                <w:rFonts w:ascii="Times New Roman" w:eastAsia="宋体" w:cs="Times New Roman" w:hAnsi="Times New Roman"/>
                <w:kern w:val="2"/>
                <w:sz w:val="32"/>
                <w:szCs w:val="32"/>
                <w:lang w:val="en-US" w:eastAsia="zh-CN" w:bidi="ar-SA"/>
              </w:rPr>
              <w:id w:val="-221324908"/>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"_Toc1759947160_WPSOffice_Level2"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十二、国有资本经营预算财政拨款支出决算表</w:t>
              </w:r>
            </w:sdtContent>
          </w:sdt>
          <w:r>
            <w:rPr>
              <w:sz w:val="32"/>
              <w:szCs w:val="32"/>
            </w:rPr>
            <w:tab/>
          </w:r>
          <w:bookmarkStart w:id="42" w:name="_Toc1759947160_WPSOffice_Level2Page"/>
          <w:r>
            <w:rPr>
              <w:sz w:val="32"/>
              <w:szCs w:val="32"/>
            </w:rPr>
            <w:t>29</w:t>
          </w:r>
          <w:r>
            <w:rPr>
              <w:rFonts w:ascii="Times New Roman" w:eastAsia="仿宋_GB2312" w:cs="Times New Roman" w:hAnsi="Times New Roman"/>
              <w:sz w:val="32"/>
              <w:szCs w:val="32"/>
            </w:rPr>
            <w:fldChar w:fldCharType="end"/>
          </w:r>
        </w:p>
        <w:p>
          <w:pPr>
            <w:pStyle w:val="37"/>
            <w:tabs>
              <w:tab w:val="right" w:leader="dot" w:pos="8306"/>
            </w:tabs>
          </w:pPr>
          <w:sdt>
            <w:sdtPr>
              <w:rPr>
                <w:rFonts w:ascii="Times New Roman" w:eastAsia="宋体" w:cs="Times New Roman" w:hAnsi="Times New Roman"/>
                <w:kern w:val="2"/>
                <w:sz w:val="32"/>
                <w:szCs w:val="32"/>
                <w:lang w:val="en-US" w:eastAsia="zh-CN" w:bidi="ar-SA"/>
              </w:rPr>
              <w:id w:val="447908906"/>
              <w:placeholder>
                <w:docPart w:val="B364EAE552E54FA2AF253D4F079501A1"/>
              </w:placeholder>
            </w:sdtPr>
            <w:sdtContent>
              <w:r>
                <w:rPr>
                  <w:rFonts w:ascii="Times New Roman" w:eastAsia="仿宋_GB2312" w:cs="Times New Roman" w:hAnsi="Times New Roman"/>
                  <w:sz w:val="32"/>
                  <w:szCs w:val="32"/>
                </w:rPr>
                <w:fldChar w:fldCharType="begin"/>
              </w:r>
              <w:r>
                <w:instrText>HYPERLINK  \l "_Toc927269515_WPSOffice_Level2"</w:instrText>
              </w:r>
              <w:r>
                <w:rPr>
                  <w:rFonts w:ascii="Times New Roman" w:eastAsia="仿宋_GB2312" w:cs="Times New Roman" w:hAnsi="Times New Roman"/>
                  <w:sz w:val="32"/>
                  <w:szCs w:val="32"/>
                </w:rPr>
                <w:fldChar w:fldCharType="separate"/>
              </w:r>
              <w:r>
                <w:rPr>
                  <w:rFonts w:ascii="Times New Roman" w:eastAsia="仿宋_GB2312" w:cs="Times New Roman" w:hAnsi="Times New Roman"/>
                  <w:sz w:val="32"/>
                  <w:szCs w:val="32"/>
                </w:rPr>
                <w:t>十三、财政拨款“三公”经费支出决算表</w:t>
              </w:r>
            </w:sdtContent>
          </w:sdt>
          <w:r>
            <w:rPr>
              <w:sz w:val="32"/>
              <w:szCs w:val="32"/>
            </w:rPr>
            <w:tab/>
          </w:r>
          <w:bookmarkStart w:id="43" w:name="_Toc927269515_WPSOffice_Level2Page"/>
          <w:r>
            <w:rPr>
              <w:sz w:val="32"/>
              <w:szCs w:val="32"/>
            </w:rPr>
            <w:t>29</w:t>
          </w:r>
          <w:r>
            <w:rPr>
              <w:rFonts w:ascii="Times New Roman" w:eastAsia="仿宋_GB2312" w:cs="Times New Roman" w:hAnsi="Times New Roman"/>
              <w:sz w:val="32"/>
              <w:szCs w:val="32"/>
            </w:rPr>
            <w:fldChar w:fldCharType="end"/>
          </w:r>
        </w:p>
        <w:bookmarkEnd w:id="13" w:displacedByCustomXml="next"/>
        <w:bookmarkEnd w:id="43" w:displacedByCustomXml="next"/>
      </w:sdtContent>
    </w:sdt>
    <w:p>
      <w:pPr>
        <w:pStyle w:val="24"/>
        <w:tabs>
          <w:tab w:val="right" w:leader="dot" w:pos="8296"/>
        </w:tabs>
        <w:adjustRightInd w:val="0"/>
        <w:snapToGrid w:val="0"/>
        <w:spacing w:line="560" w:lineRule="exact"/>
        <w:ind w:leftChars="0" w:left="0" w:firstLineChars="200" w:firstLine="640"/>
        <w:jc w:val="left"/>
        <w:rPr>
          <w:rFonts w:ascii="Times New Roman" w:eastAsia="仿宋_GB2312" w:cs="Times New Roman" w:hAnsi="Times New Roman"/>
          <w:b/>
          <w:bCs/>
          <w:sz w:val="32"/>
          <w:szCs w:val="32"/>
        </w:rPr>
        <w:sectPr>
          <w:footerReference w:type="default" r:id="rId8"/>
          <w:pgSz w:w="11906" w:h="16838"/>
          <w:pgMar w:top="1440" w:right="1800" w:bottom="1440" w:left="1800" w:header="851" w:footer="992" w:gutter="0"/>
          <w:pgNumType w:start="1"/>
          <w:docGrid w:type="lines" w:linePitch="312" w:charSpace="0"/>
        </w:sectPr>
      </w:pPr>
    </w:p>
    <w:p/>
    <w:p>
      <w:pPr>
        <w:pStyle w:val="1"/>
        <w:jc w:val="center"/>
        <w:rPr>
          <w:rStyle w:val="1Char"/>
          <w:rFonts w:ascii="Times New Roman" w:eastAsia="方正小标宋简体" w:cs="Times New Roman" w:hAnsi="Times New Roman"/>
          <w:b/>
          <w:bCs w:val="0"/>
        </w:rPr>
      </w:pPr>
      <w:bookmarkStart w:id="44" w:name="_Toc15377196"/>
      <w:bookmarkStart w:id="45" w:name="_Toc15396599"/>
      <w:bookmarkStart w:id="46" w:name="_Toc174104230_WPSOffice_Level1"/>
      <w:r>
        <w:rPr>
          <w:rFonts w:ascii="Times New Roman" w:eastAsia="方正小标宋简体" w:cs="Times New Roman" w:hAnsi="Times New Roman"/>
          <w:b w:val="0"/>
        </w:rPr>
        <w:t xml:space="preserve">第一部分  </w:t>
      </w:r>
      <w:r>
        <w:rPr>
          <w:rStyle w:val="1Char"/>
          <w:rFonts w:eastAsia="方正小标宋简体" w:cs="Times New Roman" w:hint="eastAsia"/>
          <w:b w:val="0"/>
          <w:bCs w:val="0"/>
          <w:lang w:eastAsia="zh-CN"/>
        </w:rPr>
        <w:t>单位</w:t>
      </w:r>
      <w:r>
        <w:rPr>
          <w:rStyle w:val="1Char"/>
          <w:rFonts w:ascii="Times New Roman" w:eastAsia="方正小标宋简体" w:cs="Times New Roman" w:hAnsi="Times New Roman"/>
          <w:b w:val="0"/>
          <w:bCs w:val="0"/>
        </w:rPr>
        <w:t>概况</w:t>
      </w:r>
      <w:bookmarkEnd w:id="44"/>
      <w:bookmarkEnd w:id="45"/>
      <w:bookmarkEnd w:id="46"/>
    </w:p>
    <w:p>
      <w:pPr>
        <w:widowControl/>
        <w:jc w:val="left"/>
        <w:rPr>
          <w:rFonts w:ascii="Times New Roman" w:eastAsia="黑体" w:cs="Times New Roman" w:hAnsi="Times New Roman"/>
          <w:sz w:val="32"/>
          <w:szCs w:val="32"/>
        </w:rPr>
      </w:pPr>
    </w:p>
    <w:p>
      <w:pPr>
        <w:pStyle w:val="2"/>
        <w:rPr>
          <w:rFonts w:ascii="Times New Roman" w:eastAsia="黑体" w:cs="Times New Roman" w:hAnsi="Times New Roman"/>
          <w:b w:val="0"/>
        </w:rPr>
      </w:pPr>
      <w:bookmarkStart w:id="47" w:name="_Toc15377197"/>
      <w:bookmarkStart w:id="48" w:name="_Toc15396600"/>
      <w:bookmarkStart w:id="49" w:name="_Toc1222016267_WPSOffice_Level2"/>
      <w:r>
        <w:rPr>
          <w:rFonts w:ascii="Times New Roman" w:eastAsia="黑体" w:cs="Times New Roman" w:hAnsi="Times New Roman"/>
          <w:b w:val="0"/>
        </w:rPr>
        <w:t>一、</w:t>
      </w:r>
      <w:bookmarkEnd w:id="47"/>
      <w:bookmarkEnd w:id="48"/>
      <w:r>
        <w:rPr>
          <w:rFonts w:ascii="Times New Roman" w:eastAsia="黑体" w:cs="Times New Roman" w:hAnsi="Times New Roman" w:hint="eastAsia"/>
          <w:b w:val="0"/>
          <w:lang w:eastAsia="zh-CN"/>
        </w:rPr>
        <w:t>单位</w:t>
      </w:r>
      <w:r>
        <w:rPr>
          <w:rFonts w:ascii="Times New Roman" w:eastAsia="黑体" w:cs="Times New Roman" w:hAnsi="Times New Roman"/>
          <w:b w:val="0"/>
        </w:rPr>
        <w:t>职责</w:t>
      </w:r>
      <w:bookmarkEnd w:id="49"/>
    </w:p>
    <w:p>
      <w:pPr>
        <w:ind w:firstLineChars="200" w:firstLine="640"/>
        <w:rPr>
          <w:rFonts w:ascii="Times New Roman" w:cs="Times New Roman" w:hAnsi="Times New Roman"/>
        </w:rPr>
      </w:pPr>
      <w:r>
        <w:rPr>
          <w:rFonts w:ascii="Times New Roman" w:eastAsia="仿宋_GB2312" w:cs="Times New Roman" w:hAnsi="Times New Roman"/>
          <w:color w:val="000000"/>
          <w:sz w:val="32"/>
          <w:szCs w:val="32"/>
        </w:rPr>
        <w:t>攀枝花市司法局系纳入公务员编制的机关法人。地址：攀枝花市东区佳联路</w:t>
      </w:r>
      <w:r>
        <w:rPr>
          <w:rFonts w:ascii="Times New Roman" w:cs="Times New Roman" w:hAnsi="Times New Roman"/>
          <w:color w:val="000000"/>
          <w:sz w:val="32"/>
          <w:szCs w:val="32"/>
        </w:rPr>
        <w:t>5</w:t>
      </w:r>
      <w:r>
        <w:rPr>
          <w:rFonts w:ascii="Times New Roman" w:eastAsia="仿宋_GB2312" w:cs="Times New Roman" w:hAnsi="Times New Roman"/>
          <w:color w:val="000000"/>
          <w:sz w:val="32"/>
          <w:szCs w:val="32"/>
        </w:rPr>
        <w:t>号。法定代表人：卢建军。主要职责包括：承担全面依法治国、依法治省、依法治市重大问题的政策研究，协调有关方面提出全面依法治市规划建议，负责有关重大决策部署督察工作。承担统筹规划立法工作的责任。协调有关方面提出立法规划和年度立法工作计划的建议，负责跟踪了解各</w:t>
      </w:r>
      <w:r>
        <w:rPr>
          <w:rFonts w:eastAsia="仿宋_GB2312" w:cs="Times New Roman" w:hint="eastAsia"/>
          <w:color w:val="000000"/>
          <w:sz w:val="32"/>
          <w:szCs w:val="32"/>
          <w:lang w:eastAsia="zh-CN"/>
        </w:rPr>
        <w:t>单位</w:t>
      </w:r>
      <w:r>
        <w:rPr>
          <w:rFonts w:ascii="Times New Roman" w:eastAsia="仿宋_GB2312" w:cs="Times New Roman" w:hAnsi="Times New Roman"/>
          <w:color w:val="000000"/>
          <w:sz w:val="32"/>
          <w:szCs w:val="32"/>
        </w:rPr>
        <w:t>对立法工作计划的落实情况，加强组织协调和督促指导，研究提出立法与改革决策相衔接的意见、措施。负责面向社会征集地方性法规、规章制定项目建议。负责起草或者组织起草地方性法规、市政府规章起草案。负责市政府有关</w:t>
      </w:r>
      <w:r>
        <w:rPr>
          <w:rFonts w:eastAsia="仿宋_GB2312" w:cs="Times New Roman" w:hint="eastAsia"/>
          <w:color w:val="000000"/>
          <w:sz w:val="32"/>
          <w:szCs w:val="32"/>
          <w:lang w:eastAsia="zh-CN"/>
        </w:rPr>
        <w:t>单位</w:t>
      </w:r>
      <w:r>
        <w:rPr>
          <w:rFonts w:ascii="Times New Roman" w:eastAsia="仿宋_GB2312" w:cs="Times New Roman" w:hAnsi="Times New Roman"/>
          <w:color w:val="000000"/>
          <w:sz w:val="32"/>
          <w:szCs w:val="32"/>
        </w:rPr>
        <w:t>报送市政府的地方性法规、规章草案的审查工作。负责立法协调。承担市政府规章的解释、立法后评估工作。负责协调各县（区）、各</w:t>
      </w:r>
      <w:r>
        <w:rPr>
          <w:rFonts w:eastAsia="仿宋_GB2312" w:cs="Times New Roman" w:hint="eastAsia"/>
          <w:color w:val="000000"/>
          <w:sz w:val="32"/>
          <w:szCs w:val="32"/>
          <w:lang w:eastAsia="zh-CN"/>
        </w:rPr>
        <w:t>单位</w:t>
      </w:r>
      <w:r>
        <w:rPr>
          <w:rFonts w:ascii="Times New Roman" w:eastAsia="仿宋_GB2312" w:cs="Times New Roman" w:hAnsi="Times New Roman"/>
          <w:color w:val="000000"/>
          <w:sz w:val="32"/>
          <w:szCs w:val="32"/>
        </w:rPr>
        <w:t>实施法律、法规、规章中的有关争议和问题。承办市政府规章的清理、编纂、翻译工作、承办市政府规章报送备案工作。负责市政府规范性文件、重大行政决策发布前的合法性审查。承办市政府规范性文件的报送备案工作。负责各县（区）政府和市政府各</w:t>
      </w:r>
      <w:r>
        <w:rPr>
          <w:rFonts w:eastAsia="仿宋_GB2312" w:cs="Times New Roman" w:hint="eastAsia"/>
          <w:color w:val="000000"/>
          <w:sz w:val="32"/>
          <w:szCs w:val="32"/>
          <w:lang w:eastAsia="zh-CN"/>
        </w:rPr>
        <w:t>单位</w:t>
      </w:r>
      <w:r>
        <w:rPr>
          <w:rFonts w:ascii="Times New Roman" w:eastAsia="仿宋_GB2312" w:cs="Times New Roman" w:hAnsi="Times New Roman"/>
          <w:color w:val="000000"/>
          <w:sz w:val="32"/>
          <w:szCs w:val="32"/>
        </w:rPr>
        <w:t>规范性文件报送市政府的备案审查工作。组织开展规范性文件清理。承担统筹推进法治政府建设的责任。指导监督市政府各</w:t>
      </w:r>
      <w:r>
        <w:rPr>
          <w:rFonts w:eastAsia="仿宋_GB2312" w:cs="Times New Roman" w:hint="eastAsia"/>
          <w:color w:val="000000"/>
          <w:sz w:val="32"/>
          <w:szCs w:val="32"/>
          <w:lang w:eastAsia="zh-CN"/>
        </w:rPr>
        <w:t>单位</w:t>
      </w:r>
      <w:r>
        <w:rPr>
          <w:rFonts w:ascii="Times New Roman" w:eastAsia="仿宋_GB2312" w:cs="Times New Roman" w:hAnsi="Times New Roman"/>
          <w:color w:val="000000"/>
          <w:sz w:val="32"/>
          <w:szCs w:val="32"/>
        </w:rPr>
        <w:t>、市以下各级政府依法行政工作。负责综合协调、监督检查行政执法，承担推进行政执法体制改革有关工作，推进严格规范公正文明执法。指导监督全市行政复议、行政应诉和行政赔偿工作，承办向市政府申请的行政复议、行政赔偿案件，代理市政府行政应诉案件。承担统筹规划法治社会建设的责任。负责拟定法治宣传教育规划，组织实施普法宣传工作，组织对外法治宣传。推动人民参与和促进法治建设。指导依法治理和法治创建工作。指导调解工作。负责并指导人民监督员的选任管理工作。指导人民陪审员选任工作。指导监督司法所建设和管理工作。负责职责范围内的安全生产工作。指导管理全市社区矫正工作。指导刑满释放人员帮教安置工作。负责全市司法行政戒毒管理工作。指导市强制隔离戒毒所党的建设、党风廉政建设和领导班子建设。指导监督市强制隔离戒毒所强制隔离戒毒执行和戒毒康复工作。对社区戒毒和社区康复工作提供支持和协助。负责拟定全市公共法律服务体系建设规划并指导实施，统筹和布局全市城乡、区域法律服务资源。指导监督律师、法律援助、司法鉴定、公证、仲裁和基层法律服务管理工作。负责全市国家统一法律职业资格考试的组织实施工作。负责全市国家统一法律职业资格管理工作。负责组织和实施法律职业人员入职前培训工作。负责监督管理本系统枪支、弹药、服装和警车等警用物资装备。指导监督本系统财务、装备、设施、场所等保障工作。指导监督所属事业单位的计划财务工作。负责所属事业单位内部审计工作。规划、协调、指导法治人才队伍建设相关工作，指导监督本系统队伍建设。负责本系统人民警察警务管理和警务督察工作。协调县（区）管理司法局领导干部。负责并指导本系统行政审批工作。负责全市外来企业投诉处理和民营企业法律服务工作。完成市委、市政府交办的其他任务。</w:t>
      </w:r>
    </w:p>
    <w:p>
      <w:pPr>
        <w:rPr>
          <w:rFonts w:ascii="Times New Roman" w:cs="Times New Roman" w:hAnsi="Times New Roman"/>
        </w:rPr>
      </w:pPr>
    </w:p>
    <w:p>
      <w:pPr>
        <w:pStyle w:val="2"/>
        <w:rPr>
          <w:rStyle w:val="2Char"/>
          <w:rFonts w:ascii="Times New Roman" w:cs="Times New Roman" w:hAnsi="Times New Roman"/>
          <w:b w:val="0"/>
          <w:bCs w:val="0"/>
        </w:rPr>
      </w:pPr>
      <w:bookmarkStart w:id="50" w:name="_Toc15396601"/>
      <w:bookmarkStart w:id="51" w:name="_Toc1277231889_WPSOffice_Level2"/>
      <w:bookmarkStart w:id="52" w:name="_Toc15377200"/>
      <w:r>
        <w:rPr>
          <w:rFonts w:ascii="Times New Roman" w:eastAsia="黑体" w:cs="Times New Roman" w:hAnsi="Times New Roman"/>
          <w:b w:val="0"/>
        </w:rPr>
        <w:t>二、机</w:t>
      </w:r>
      <w:r>
        <w:rPr>
          <w:rStyle w:val="2Char"/>
          <w:rFonts w:ascii="Times New Roman" w:eastAsia="黑体" w:cs="Times New Roman" w:hAnsi="Times New Roman"/>
          <w:b w:val="0"/>
          <w:bCs w:val="0"/>
        </w:rPr>
        <w:t>构设置</w:t>
      </w:r>
      <w:bookmarkEnd w:id="50"/>
      <w:bookmarkEnd w:id="51"/>
      <w:bookmarkEnd w:id="52"/>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攀枝花市司法局直属二级单位3个，其中行政单位0个，参照公务员法管理的事业单位2个，其他事业单位1个。</w:t>
      </w:r>
    </w:p>
    <w:p>
      <w:pPr>
        <w:pStyle w:val="16"/>
        <w:adjustRightInd w:val="0"/>
        <w:snapToGrid w:val="0"/>
        <w:spacing w:beforeLines="0" w:before="93" w:line="600" w:lineRule="exact"/>
        <w:ind w:firstLineChars="200" w:firstLine="640"/>
        <w:outlineLvl w:val="2"/>
        <w:rPr>
          <w:rFonts w:ascii="Times New Roman" w:eastAsia="仿宋_GB2312" w:cs="Times New Roman" w:hAnsi="Times New Roman"/>
          <w:color w:val="000000"/>
          <w:sz w:val="32"/>
          <w:szCs w:val="32"/>
        </w:rPr>
      </w:pPr>
      <w:bookmarkStart w:id="53" w:name="_Toc176939595"/>
      <w:r>
        <w:rPr>
          <w:rFonts w:ascii="Times New Roman" w:eastAsia="仿宋_GB2312" w:cs="Times New Roman" w:hAnsi="Times New Roman"/>
          <w:color w:val="000000"/>
          <w:sz w:val="32"/>
          <w:szCs w:val="32"/>
        </w:rPr>
        <w:t>攀枝花仲裁委员会秘书处，攀枝花市法律援助中心，四川省攀枝花市攀枝花公证处，全部纳入攀枝花市司法局202</w:t>
      </w:r>
      <w:r>
        <w:rPr>
          <w:rFonts w:ascii="Times New Roman" w:eastAsia="仿宋_GB2312" w:cs="Times New Roman" w:hAnsi="Times New Roman"/>
          <w:color w:val="000000"/>
          <w:sz w:val="32"/>
          <w:szCs w:val="32"/>
          <w:lang w:val="en-US" w:eastAsia="zh-CN"/>
        </w:rPr>
        <w:t>4</w:t>
      </w:r>
      <w:r>
        <w:rPr>
          <w:rFonts w:ascii="Times New Roman" w:eastAsia="仿宋_GB2312" w:cs="Times New Roman" w:hAnsi="Times New Roman"/>
          <w:color w:val="000000"/>
          <w:sz w:val="32"/>
          <w:szCs w:val="32"/>
        </w:rPr>
        <w:t>年度</w:t>
      </w:r>
      <w:r>
        <w:rPr>
          <w:rFonts w:ascii="Times New Roman" w:cs="Times New Roman" w:hAnsi="Times New Roman" w:hint="eastAsia"/>
          <w:color w:val="000000"/>
          <w:sz w:val="32"/>
          <w:szCs w:val="32"/>
          <w:lang w:eastAsia="zh-CN"/>
        </w:rPr>
        <w:t>单位</w:t>
      </w:r>
      <w:r>
        <w:rPr>
          <w:rFonts w:ascii="Times New Roman" w:eastAsia="仿宋_GB2312" w:cs="Times New Roman" w:hAnsi="Times New Roman"/>
          <w:color w:val="000000"/>
          <w:sz w:val="32"/>
          <w:szCs w:val="32"/>
        </w:rPr>
        <w:t>决算编制范围，无独立核算的二级预算单位。</w:t>
      </w:r>
      <w:bookmarkEnd w:id="53"/>
    </w:p>
    <w:p>
      <w:pPr>
        <w:widowControl/>
        <w:jc w:val="left"/>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jc w:val="center"/>
        <w:rPr>
          <w:rFonts w:ascii="Times New Roman" w:eastAsia="方正小标宋简体" w:cs="Times New Roman" w:hAnsi="Times New Roman"/>
          <w:b w:val="0"/>
        </w:rPr>
      </w:pPr>
      <w:bookmarkStart w:id="54" w:name="_Toc15396602"/>
      <w:bookmarkStart w:id="55" w:name="_Toc1222016267_WPSOffice_Level1"/>
      <w:bookmarkStart w:id="56" w:name="_Toc15377204"/>
      <w:r>
        <w:rPr>
          <w:rFonts w:ascii="Times New Roman" w:eastAsia="方正小标宋简体" w:cs="Times New Roman" w:hAnsi="Times New Roman"/>
          <w:b w:val="0"/>
        </w:rPr>
        <w:t>第二部分  2025年度</w:t>
      </w:r>
      <w:r>
        <w:rPr>
          <w:rFonts w:eastAsia="方正小标宋简体" w:cs="Times New Roman" w:hint="eastAsia"/>
          <w:b w:val="0"/>
          <w:lang w:eastAsia="zh-CN"/>
        </w:rPr>
        <w:t>单位</w:t>
      </w:r>
      <w:r>
        <w:rPr>
          <w:rFonts w:ascii="Times New Roman" w:eastAsia="方正小标宋简体" w:cs="Times New Roman" w:hAnsi="Times New Roman"/>
          <w:b w:val="0"/>
        </w:rPr>
        <w:t>决算情况说明</w:t>
      </w:r>
      <w:bookmarkEnd w:id="54"/>
      <w:bookmarkEnd w:id="55"/>
      <w:bookmarkEnd w:id="56"/>
    </w:p>
    <w:p>
      <w:pPr>
        <w:rPr>
          <w:rFonts w:ascii="Times New Roman" w:cs="Times New Roman" w:hAnsi="Times New Roman"/>
        </w:rPr>
      </w:pPr>
    </w:p>
    <w:p>
      <w:pPr>
        <w:pStyle w:val="32"/>
        <w:spacing w:line="600" w:lineRule="exact"/>
        <w:outlineLvl w:val="1"/>
        <w:rPr>
          <w:rStyle w:val="2Char"/>
          <w:rFonts w:ascii="Times New Roman" w:eastAsia="黑体" w:cs="Times New Roman" w:hAnsi="Times New Roman"/>
          <w:b w:val="0"/>
        </w:rPr>
      </w:pPr>
      <w:bookmarkStart w:id="57" w:name="_Toc15396603"/>
      <w:bookmarkStart w:id="58" w:name="_Toc392477811_WPSOffice_Level2"/>
      <w:bookmarkStart w:id="59" w:name="_Toc15377205"/>
      <w:r>
        <w:rPr>
          <w:rFonts w:ascii="Times New Roman" w:eastAsia="黑体" w:cs="Times New Roman" w:hAnsi="Times New Roman"/>
          <w:sz w:val="32"/>
          <w:szCs w:val="32"/>
        </w:rPr>
        <w:t>一、收</w:t>
      </w:r>
      <w:r>
        <w:rPr>
          <w:rStyle w:val="2Char"/>
          <w:rFonts w:ascii="Times New Roman" w:eastAsia="黑体" w:cs="Times New Roman" w:hAnsi="Times New Roman"/>
          <w:b w:val="0"/>
        </w:rPr>
        <w:t>入支出决算总体情况说明</w:t>
      </w:r>
      <w:bookmarkEnd w:id="57"/>
      <w:bookmarkEnd w:id="58"/>
      <w:bookmarkEnd w:id="59"/>
    </w:p>
    <w:p>
      <w:pPr>
        <w:pStyle w:val="32"/>
        <w:spacing w:line="600" w:lineRule="exact"/>
        <w:outlineLvl w:val="1"/>
        <w:rPr>
          <w:rFonts w:ascii="Times New Roman" w:eastAsia="仿宋" w:cs="Times New Roman" w:hAnsi="Times New Roman"/>
          <w:sz w:val="32"/>
          <w:szCs w:val="32"/>
          <w:lang w:eastAsia="zh-CN"/>
        </w:rPr>
      </w:pPr>
      <w:r>
        <w:rPr>
          <w:rFonts w:ascii="Times New Roman" w:eastAsia="仿宋_GB2312" w:cs="Times New Roman" w:hAnsi="Times New Roman"/>
          <w:sz w:val="32"/>
          <w:szCs w:val="32"/>
        </w:rPr>
        <w:t>2025年度收入、支出总计均为</w:t>
      </w:r>
      <w:r>
        <w:rPr>
          <w:rFonts w:ascii="Times New Roman" w:eastAsia="仿宋_GB2312" w:cs="Times New Roman" w:hAnsi="Times New Roman"/>
          <w:sz w:val="32"/>
          <w:szCs w:val="32"/>
          <w:lang w:val="en-US" w:eastAsia="zh-CN"/>
        </w:rPr>
        <w:t>2333.99</w:t>
      </w:r>
      <w:r>
        <w:rPr>
          <w:rFonts w:ascii="Times New Roman" w:eastAsia="仿宋_GB2312" w:cs="Times New Roman" w:hAnsi="Times New Roman"/>
          <w:sz w:val="32"/>
          <w:szCs w:val="32"/>
        </w:rPr>
        <w:t>万元。与上年度相比，收入、支出总计各增加</w:t>
      </w:r>
      <w:r>
        <w:rPr>
          <w:rFonts w:ascii="Times New Roman" w:eastAsia="仿宋_GB2312" w:cs="Times New Roman" w:hAnsi="Times New Roman"/>
          <w:sz w:val="32"/>
          <w:szCs w:val="32"/>
          <w:lang w:val="en-US" w:eastAsia="zh-CN"/>
        </w:rPr>
        <w:t>9.39</w:t>
      </w:r>
      <w:r>
        <w:rPr>
          <w:rFonts w:ascii="Times New Roman" w:eastAsia="仿宋_GB2312" w:cs="Times New Roman" w:hAnsi="Times New Roman"/>
          <w:sz w:val="32"/>
          <w:szCs w:val="32"/>
        </w:rPr>
        <w:t>万元，增长</w:t>
      </w:r>
      <w:r>
        <w:rPr>
          <w:rFonts w:ascii="Times New Roman" w:eastAsia="仿宋_GB2312" w:cs="Times New Roman" w:hAnsi="Times New Roman"/>
          <w:sz w:val="32"/>
          <w:szCs w:val="32"/>
          <w:lang w:val="en-US" w:eastAsia="zh-CN"/>
        </w:rPr>
        <w:t>0.4</w:t>
      </w:r>
      <w:r>
        <w:rPr>
          <w:rFonts w:ascii="Times New Roman" w:eastAsia="仿宋_GB2312" w:cs="Times New Roman" w:hAnsi="Times New Roman"/>
          <w:sz w:val="32"/>
          <w:szCs w:val="32"/>
        </w:rPr>
        <w:t>%。主要变动原因是</w:t>
      </w:r>
      <w:r>
        <w:rPr>
          <w:rFonts w:ascii="Times New Roman" w:eastAsia="仿宋" w:cs="Times New Roman" w:hAnsi="Times New Roman"/>
          <w:sz w:val="32"/>
          <w:szCs w:val="32"/>
        </w:rPr>
        <w:t>一般公共预算财政拨款</w:t>
      </w:r>
      <w:r>
        <w:rPr>
          <w:rFonts w:ascii="Times New Roman" w:eastAsia="仿宋" w:cs="Times New Roman" w:hAnsi="Times New Roman"/>
          <w:sz w:val="32"/>
          <w:szCs w:val="32"/>
          <w:lang w:eastAsia="zh-CN"/>
        </w:rPr>
        <w:t>增加。</w:t>
      </w:r>
    </w:p>
    <w:p>
      <w:pPr>
        <w:ind w:firstLineChars="200" w:firstLine="640"/>
        <w:rPr>
          <w:rFonts w:ascii="Times New Roman" w:eastAsia="仿宋_GB2312" w:cs="Times New Roman" w:hAnsi="Times New Roman"/>
          <w:sz w:val="32"/>
          <w:szCs w:val="32"/>
        </w:rPr>
      </w:pPr>
      <w:r>
        <w:rPr>
          <w:rFonts w:ascii="Times New Roman" w:eastAsia="仿宋" w:cs="Times New Roman" w:hAnsi="Times New Roman"/>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alt="olechartimg_1788145403259446_291735552" style="width:332.5pt;height:197.55pt;" o:ole="">
            <v:stroke color="#000000"/>
            <v:imagedata r:id="rId10" o:title="image1"/>
            <o:lock aspectratio="t"/>
            <w10:anchorLock/>
          </v:shape>
          <o:OLEObject Type="Embed" ProgID="Package" ShapeID="_x0000_i1" DrawAspect="Content" ObjectID="_1393063351" r:id="rId11"/>
        </w:object>
      </w:r>
    </w:p>
    <w:p>
      <w:pPr>
        <w:pStyle w:val="32"/>
        <w:spacing w:line="600" w:lineRule="exact"/>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（图1：收入、支出决算总计变动情况图）（柱状图）</w:t>
      </w:r>
    </w:p>
    <w:p>
      <w:pPr>
        <w:pStyle w:val="32"/>
        <w:spacing w:line="600" w:lineRule="exact"/>
        <w:outlineLvl w:val="1"/>
        <w:rPr>
          <w:rFonts w:ascii="Times New Roman" w:eastAsia="黑体" w:cs="Times New Roman" w:hAnsi="Times New Roman"/>
          <w:sz w:val="32"/>
          <w:szCs w:val="32"/>
        </w:rPr>
      </w:pPr>
      <w:bookmarkStart w:id="60" w:name="_Toc15377206"/>
      <w:bookmarkStart w:id="61" w:name="_Toc15396604"/>
    </w:p>
    <w:p>
      <w:pPr>
        <w:pStyle w:val="32"/>
        <w:spacing w:line="600" w:lineRule="exact"/>
        <w:outlineLvl w:val="1"/>
        <w:rPr>
          <w:rFonts w:ascii="Times New Roman" w:eastAsia="黑体" w:cs="Times New Roman" w:hAnsi="Times New Roman"/>
          <w:sz w:val="32"/>
          <w:szCs w:val="32"/>
        </w:rPr>
      </w:pPr>
      <w:bookmarkStart w:id="62" w:name="_Toc1581028258_WPSOffice_Level2"/>
      <w:r>
        <w:rPr>
          <w:rFonts w:ascii="Times New Roman" w:eastAsia="黑体" w:cs="Times New Roman" w:hAnsi="Times New Roman"/>
          <w:sz w:val="32"/>
          <w:szCs w:val="32"/>
        </w:rPr>
        <w:t>二、收入决算情况说明</w:t>
      </w:r>
      <w:bookmarkEnd w:id="60"/>
      <w:bookmarkEnd w:id="61"/>
      <w:bookmarkEnd w:id="62"/>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仿宋_GB2312" w:cs="Times New Roman" w:hAnsi="Times New Roman"/>
          <w:b/>
          <w:bCs/>
          <w:color w:val="auto"/>
          <w:sz w:val="32"/>
          <w:szCs w:val="32"/>
          <w:lang w:eastAsia="zh-CN"/>
          <w:highlight w:val="auto"/>
        </w:rPr>
      </w:pPr>
      <w:r>
        <w:rPr>
          <w:rFonts w:ascii="Times New Roman" w:eastAsia="仿宋_GB2312" w:cs="Times New Roman" w:hAnsi="Times New Roman"/>
          <w:color w:val="auto"/>
          <w:sz w:val="32"/>
          <w:szCs w:val="32"/>
          <w:lang w:eastAsia="zh-CN"/>
          <w:highlight w:val="auto"/>
        </w:rPr>
        <w:t>2025年度本年收入合计</w:t>
      </w:r>
      <w:r>
        <w:rPr>
          <w:rFonts w:ascii="Times New Roman" w:eastAsia="仿宋_GB2312" w:cs="Times New Roman" w:hAnsi="Times New Roman"/>
          <w:sz w:val="32"/>
          <w:szCs w:val="32"/>
        </w:rPr>
        <w:t>2288.97</w:t>
      </w:r>
      <w:r>
        <w:rPr>
          <w:rFonts w:ascii="Times New Roman" w:eastAsia="仿宋_GB2312" w:cs="Times New Roman" w:hAnsi="Times New Roman"/>
          <w:color w:val="auto"/>
          <w:sz w:val="32"/>
          <w:szCs w:val="32"/>
          <w:lang w:eastAsia="zh-CN"/>
          <w:highlight w:val="auto"/>
        </w:rPr>
        <w:t>万元，其中：一般公共预算财政拨款收入</w:t>
      </w:r>
      <w:r>
        <w:rPr>
          <w:rFonts w:ascii="Times New Roman" w:eastAsia="仿宋_GB2312" w:cs="Times New Roman" w:hAnsi="Times New Roman"/>
          <w:sz w:val="32"/>
          <w:szCs w:val="32"/>
        </w:rPr>
        <w:t>2249.58</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98.27</w:t>
      </w:r>
      <w:r>
        <w:rPr>
          <w:rFonts w:ascii="Times New Roman" w:eastAsia="仿宋_GB2312" w:cs="Times New Roman" w:hAnsi="Times New Roman"/>
          <w:color w:val="auto"/>
          <w:sz w:val="32"/>
          <w:szCs w:val="32"/>
          <w:lang w:eastAsia="zh-CN"/>
          <w:highlight w:val="auto"/>
        </w:rPr>
        <w:t>%；其他收入</w:t>
      </w:r>
      <w:r>
        <w:rPr>
          <w:rFonts w:ascii="Times New Roman" w:eastAsia="仿宋_GB2312" w:cs="Times New Roman" w:hAnsi="Times New Roman"/>
          <w:sz w:val="32"/>
          <w:szCs w:val="32"/>
        </w:rPr>
        <w:t>39.39</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1.72</w:t>
      </w:r>
      <w:r>
        <w:rPr>
          <w:rFonts w:ascii="Times New Roman" w:eastAsia="仿宋_GB2312" w:cs="Times New Roman" w:hAnsi="Times New Roman"/>
          <w:color w:val="auto"/>
          <w:sz w:val="32"/>
          <w:szCs w:val="32"/>
          <w:lang w:eastAsia="zh-CN"/>
          <w:highlight w:val="auto"/>
        </w:rPr>
        <w:t>%。</w:t>
      </w:r>
    </w:p>
    <w:p>
      <w:pPr>
        <w:pStyle w:val="32"/>
        <w:spacing w:line="600" w:lineRule="exact"/>
        <w:outlineLvl w:val="1"/>
        <w:rPr>
          <w:rFonts w:ascii="Times New Roman" w:eastAsia="仿宋_GB2312" w:cs="Times New Roman" w:hAnsi="Times New Roman"/>
          <w:sz w:val="32"/>
          <w:szCs w:val="32"/>
        </w:rPr>
      </w:pPr>
    </w:p>
    <w:p>
      <w:pPr>
        <w:ind w:firstLineChars="250" w:firstLine="525"/>
        <w:rPr>
          <w:rFonts w:ascii="Times New Roman" w:eastAsia="仿宋_GB2312" w:cs="Times New Roman" w:hAnsi="Times New Roman"/>
          <w:sz w:val="32"/>
          <w:szCs w:val="32"/>
        </w:rPr>
      </w:pPr>
      <w:r>
        <w:rPr>
          <w:rFonts w:ascii="Times New Roman" w:eastAsia="宋体" w:cs="Times New Roman" w:hAnsi="Times New Roman"/>
          <w:lang w:eastAsia="zh-CN"/>
        </w:rPr>
        <w:object>
          <v:shape id="_x0000_i2" type="#_x0000_t75" filled="f" stroked="f" alt="olechartimg_1788145728295893_502702080" style="width:334.4pt;height:210.1pt;" o:ole="">
            <v:stroke color="#000000"/>
            <v:imagedata r:id="rId12" o:title="image2"/>
            <o:lock aspectratio="t"/>
            <w10:anchorLock/>
          </v:shape>
          <o:OLEObject Type="Embed" ProgID="Package" ShapeID="_x0000_i2" DrawAspect="Content" ObjectID="_1393063352" r:id="rId13"/>
        </w:object>
      </w:r>
    </w:p>
    <w:p>
      <w:pPr>
        <w:pStyle w:val="23"/>
        <w:jc w:val="center"/>
        <w:rPr>
          <w:rFonts w:ascii="Times New Roman" w:eastAsia="仿宋_GB2312" w:cs="Times New Roman" w:hAnsi="Times New Roman"/>
          <w:sz w:val="32"/>
          <w:szCs w:val="32"/>
        </w:rPr>
      </w:pPr>
      <w:r>
        <w:rPr>
          <w:rFonts w:ascii="Times New Roman" w:eastAsia="仿宋_GB2312" w:cs="Times New Roman" w:hAnsi="Times New Roman"/>
          <w:sz w:val="32"/>
          <w:szCs w:val="32"/>
        </w:rPr>
        <w:t>（图2：收入决算结构图）（饼状图）</w:t>
      </w:r>
    </w:p>
    <w:p>
      <w:pPr>
        <w:pStyle w:val="32"/>
        <w:spacing w:line="600" w:lineRule="exact"/>
        <w:outlineLvl w:val="1"/>
        <w:rPr>
          <w:rFonts w:ascii="Times New Roman" w:eastAsia="黑体" w:cs="Times New Roman" w:hAnsi="Times New Roman"/>
          <w:sz w:val="32"/>
          <w:szCs w:val="32"/>
        </w:rPr>
      </w:pPr>
      <w:bookmarkStart w:id="63" w:name="_Toc15396605"/>
      <w:bookmarkStart w:id="64" w:name="_Toc15377207"/>
    </w:p>
    <w:p>
      <w:pPr>
        <w:pStyle w:val="32"/>
        <w:spacing w:line="600" w:lineRule="exact"/>
        <w:outlineLvl w:val="1"/>
        <w:rPr>
          <w:rStyle w:val="2Char"/>
          <w:rFonts w:ascii="Times New Roman" w:eastAsia="黑体" w:cs="Times New Roman" w:hAnsi="Times New Roman"/>
          <w:b w:val="0"/>
        </w:rPr>
      </w:pPr>
      <w:bookmarkStart w:id="65" w:name="_Toc2061796420_WPSOffice_Level2"/>
      <w:r>
        <w:rPr>
          <w:rFonts w:ascii="Times New Roman" w:eastAsia="黑体" w:cs="Times New Roman" w:hAnsi="Times New Roman"/>
          <w:sz w:val="32"/>
          <w:szCs w:val="32"/>
        </w:rPr>
        <w:t>三、支</w:t>
      </w:r>
      <w:r>
        <w:rPr>
          <w:rStyle w:val="2Char"/>
          <w:rFonts w:ascii="Times New Roman" w:eastAsia="黑体" w:cs="Times New Roman" w:hAnsi="Times New Roman"/>
          <w:b w:val="0"/>
        </w:rPr>
        <w:t>出决算情况说明</w:t>
      </w:r>
      <w:bookmarkEnd w:id="63"/>
      <w:bookmarkEnd w:id="64"/>
      <w:bookmarkEnd w:id="65"/>
    </w:p>
    <w:p>
      <w:pPr>
        <w:pStyle w:val="32"/>
        <w:spacing w:line="600" w:lineRule="exact"/>
        <w:outlineLvl w:val="1"/>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lang w:eastAsia="zh-CN"/>
          <w:highlight w:val="auto"/>
        </w:rPr>
        <w:t>2025年度本年支出合计</w:t>
      </w:r>
      <w:r>
        <w:rPr>
          <w:rFonts w:ascii="Times New Roman" w:eastAsia="仿宋_GB2312" w:cs="Times New Roman" w:hAnsi="Times New Roman"/>
          <w:sz w:val="32"/>
          <w:szCs w:val="32"/>
        </w:rPr>
        <w:t>2274.62</w:t>
      </w:r>
      <w:r>
        <w:rPr>
          <w:rFonts w:ascii="Times New Roman" w:eastAsia="仿宋_GB2312" w:cs="Times New Roman" w:hAnsi="Times New Roman"/>
          <w:color w:val="auto"/>
          <w:sz w:val="32"/>
          <w:szCs w:val="32"/>
          <w:lang w:eastAsia="zh-CN"/>
          <w:highlight w:val="auto"/>
        </w:rPr>
        <w:t>万元，其中：基本支出</w:t>
      </w:r>
      <w:r>
        <w:rPr>
          <w:rFonts w:ascii="Times New Roman" w:eastAsia="仿宋_GB2312" w:cs="Times New Roman" w:hAnsi="Times New Roman"/>
          <w:sz w:val="32"/>
          <w:szCs w:val="32"/>
        </w:rPr>
        <w:t>1983.74</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87.21</w:t>
      </w:r>
      <w:r>
        <w:rPr>
          <w:rFonts w:ascii="Times New Roman" w:eastAsia="仿宋_GB2312" w:cs="Times New Roman" w:hAnsi="Times New Roman"/>
          <w:color w:val="auto"/>
          <w:sz w:val="32"/>
          <w:szCs w:val="32"/>
          <w:lang w:eastAsia="zh-CN"/>
          <w:highlight w:val="auto"/>
        </w:rPr>
        <w:t>%；项目支出</w:t>
      </w:r>
      <w:r>
        <w:rPr>
          <w:rFonts w:ascii="Times New Roman" w:eastAsia="仿宋_GB2312" w:cs="Times New Roman" w:hAnsi="Times New Roman"/>
          <w:sz w:val="32"/>
          <w:szCs w:val="32"/>
        </w:rPr>
        <w:t>290.88</w:t>
      </w:r>
      <w:r>
        <w:rPr>
          <w:rFonts w:ascii="Times New Roman" w:eastAsia="仿宋_GB2312" w:cs="Times New Roman" w:hAnsi="Times New Roman"/>
          <w:color w:val="auto"/>
          <w:sz w:val="32"/>
          <w:szCs w:val="32"/>
          <w:lang w:eastAsia="zh-CN"/>
          <w:highlight w:val="auto"/>
        </w:rPr>
        <w:t>万元，占</w:t>
      </w:r>
      <w:r>
        <w:rPr>
          <w:rFonts w:ascii="Times New Roman" w:eastAsia="仿宋_GB2312" w:cs="Times New Roman" w:hAnsi="Times New Roman"/>
          <w:sz w:val="32"/>
          <w:szCs w:val="32"/>
        </w:rPr>
        <w:t>12.78</w:t>
      </w:r>
      <w:r>
        <w:rPr>
          <w:rFonts w:ascii="Times New Roman" w:eastAsia="仿宋_GB2312" w:cs="Times New Roman" w:hAnsi="Times New Roman"/>
          <w:color w:val="auto"/>
          <w:sz w:val="32"/>
          <w:szCs w:val="32"/>
          <w:lang w:eastAsia="zh-CN"/>
          <w:highlight w:val="auto"/>
        </w:rPr>
        <w:t>%。</w:t>
      </w:r>
    </w:p>
    <w:p>
      <w:pPr>
        <w:ind w:firstLineChars="250" w:firstLine="800"/>
        <w:rPr>
          <w:rFonts w:ascii="Times New Roman" w:eastAsia="仿宋" w:cs="Times New Roman" w:hAnsi="Times New Roman"/>
          <w:sz w:val="32"/>
          <w:szCs w:val="32"/>
          <w:shd w:val="pct10" w:color="auto" w:fill="FFFFFF"/>
          <w:lang w:eastAsia="zh-CN"/>
        </w:rPr>
      </w:pPr>
      <w:r>
        <w:rPr>
          <w:rFonts w:ascii="Times New Roman" w:eastAsia="仿宋" w:cs="Times New Roman" w:hAnsi="Times New Roman"/>
          <w:sz w:val="32"/>
          <w:szCs w:val="32"/>
          <w:shd w:val="pct10" w:color="auto" w:fill="FFFFFF"/>
          <w:lang w:eastAsia="zh-CN"/>
        </w:rPr>
        <w:object>
          <v:shape id="_x0000_i3" type="#_x0000_t75" filled="f" stroked="f" alt="olechartimg_1788145922237623_498696192" style="width:323.5pt;height:198.6pt;" o:ole="">
            <v:stroke color="#000000"/>
            <v:imagedata r:id="rId14" o:title="image3"/>
            <o:lock aspectratio="t"/>
            <w10:anchorLock/>
          </v:shape>
          <o:OLEObject Type="Embed" ProgID="Package" ShapeID="_x0000_i3" DrawAspect="Content" ObjectID="_1393063353" r:id="rId15"/>
        </w:object>
      </w:r>
    </w:p>
    <w:p>
      <w:pPr>
        <w:pStyle w:val="32"/>
        <w:spacing w:line="600" w:lineRule="exact"/>
        <w:jc w:val="center"/>
        <w:outlineLvl w:val="1"/>
        <w:rPr>
          <w:rFonts w:ascii="Times New Roman" w:eastAsia="仿宋_GB2312" w:cs="Times New Roman" w:hAnsi="Times New Roman"/>
          <w:sz w:val="32"/>
          <w:szCs w:val="32"/>
        </w:rPr>
      </w:pPr>
      <w:r>
        <w:rPr>
          <w:rFonts w:ascii="Times New Roman" w:eastAsia="仿宋_GB2312" w:cs="Times New Roman" w:hAnsi="Times New Roman"/>
          <w:sz w:val="32"/>
          <w:szCs w:val="32"/>
        </w:rPr>
        <w:t>（图3：支出决算结构图）（饼状图）</w:t>
      </w:r>
    </w:p>
    <w:p>
      <w:pPr>
        <w:spacing w:line="600" w:lineRule="exact"/>
        <w:ind w:firstLineChars="200" w:firstLine="640"/>
        <w:outlineLvl w:val="1"/>
        <w:rPr>
          <w:rFonts w:ascii="Times New Roman" w:eastAsia="黑体" w:cs="Times New Roman" w:hAnsi="Times New Roman"/>
          <w:sz w:val="32"/>
          <w:szCs w:val="32"/>
        </w:rPr>
      </w:pPr>
      <w:bookmarkStart w:id="66" w:name="_Toc15377208"/>
      <w:bookmarkStart w:id="67" w:name="_Toc15396606"/>
    </w:p>
    <w:p>
      <w:pPr>
        <w:spacing w:line="600" w:lineRule="exact"/>
        <w:ind w:firstLineChars="200" w:firstLine="640"/>
        <w:outlineLvl w:val="1"/>
        <w:rPr>
          <w:rStyle w:val="2Char"/>
          <w:rFonts w:ascii="Times New Roman" w:eastAsia="黑体" w:cs="Times New Roman" w:hAnsi="Times New Roman"/>
          <w:b w:val="0"/>
        </w:rPr>
      </w:pPr>
      <w:bookmarkStart w:id="68" w:name="_Toc1486806826_WPSOffice_Level2"/>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66"/>
      <w:bookmarkEnd w:id="67"/>
      <w:bookmarkEnd w:id="68"/>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2025年度财政拨款收入、支出总计均为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万元。与上年度相比，财政拨款收入、支出总计各增加22.55万元，增长1%。主要变动原因是</w:t>
      </w:r>
      <w:r>
        <w:rPr>
          <w:rFonts w:ascii="Times New Roman" w:eastAsia="仿宋" w:cs="Times New Roman" w:hAnsi="Times New Roman"/>
          <w:sz w:val="32"/>
          <w:szCs w:val="32"/>
        </w:rPr>
        <w:t>一般公共预算财政拨款</w:t>
      </w:r>
      <w:r>
        <w:rPr>
          <w:rFonts w:ascii="Times New Roman" w:eastAsia="仿宋" w:cs="Times New Roman" w:hAnsi="Times New Roman"/>
          <w:sz w:val="32"/>
          <w:szCs w:val="32"/>
          <w:lang w:val="en-US" w:eastAsia="zh-CN"/>
        </w:rPr>
        <w:t>增加。</w:t>
      </w:r>
    </w:p>
    <w:p>
      <w:pPr>
        <w:pStyle w:val="23"/>
        <w:jc w:val="center"/>
        <w:rPr>
          <w:rFonts w:ascii="Times New Roman" w:eastAsia="仿宋_GB2312" w:cs="Times New Roman" w:hAnsi="Times New Roman"/>
          <w:sz w:val="32"/>
          <w:szCs w:val="32"/>
        </w:rPr>
      </w:pPr>
      <w:r>
        <w:rPr>
          <w:rFonts w:ascii="Times New Roman" w:eastAsia="仿宋" w:cs="Times New Roman" w:hAnsi="Times New Roman"/>
          <w:sz w:val="32"/>
          <w:szCs w:val="32"/>
        </w:rPr>
        <w:object>
          <v:shape id="_x0000_i4" type="#_x0000_t75" filled="f" stroked="f" alt="olechartimg_1788146300521235_352829440" style="width:313.75pt;height:186.4pt;" o:ole="">
            <v:stroke color="#000000"/>
            <v:imagedata r:id="rId16" o:title="image4"/>
            <o:lock aspectratio="t"/>
            <w10:anchorLock/>
          </v:shape>
          <o:OLEObject Type="Embed" ProgID="Package" ShapeID="_x0000_i4" DrawAspect="Content" ObjectID="_1393063354" r:id="rId17"/>
        </w:object>
      </w:r>
    </w:p>
    <w:p>
      <w:pPr>
        <w:spacing w:line="60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（图4：财政拨款收、支决算总计变动情况）（柱状图）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1"/>
        <w:rPr>
          <w:rStyle w:val="2Char"/>
          <w:rFonts w:ascii="Times New Roman" w:eastAsia="黑体" w:cs="Times New Roman" w:hAnsi="Times New Roman"/>
          <w:b w:val="0"/>
        </w:rPr>
      </w:pPr>
      <w:bookmarkStart w:id="69" w:name="_Toc1443344295_WPSOffice_Level2"/>
      <w:bookmarkStart w:id="70" w:name="_Toc15396607"/>
      <w:bookmarkStart w:id="71" w:name="_Toc15377209"/>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69"/>
      <w:bookmarkEnd w:id="70"/>
      <w:bookmarkEnd w:id="71"/>
    </w:p>
    <w:p>
      <w:pPr>
        <w:spacing w:line="600" w:lineRule="exact"/>
        <w:ind w:firstLineChars="200" w:firstLine="640"/>
        <w:outlineLvl w:val="2"/>
        <w:rPr>
          <w:rFonts w:ascii="Times New Roman" w:eastAsia="楷体_GB2312" w:cs="Times New Roman" w:hAnsi="Times New Roman"/>
          <w:b/>
          <w:sz w:val="32"/>
          <w:szCs w:val="32"/>
        </w:rPr>
      </w:pPr>
      <w:bookmarkStart w:id="72" w:name="_Toc15377210"/>
      <w:r>
        <w:rPr>
          <w:rFonts w:ascii="Times New Roman" w:eastAsia="楷体_GB2312" w:cs="Times New Roman" w:hAnsi="Times New Roman"/>
          <w:b/>
          <w:sz w:val="32"/>
          <w:szCs w:val="32"/>
        </w:rPr>
        <w:t>（一）一般公共预算财政拨款支出决算总体情况</w:t>
      </w:r>
      <w:bookmarkEnd w:id="72"/>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2025年度一般公共预算财政拨款支出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万元，占本年支出合计的</w:t>
      </w:r>
      <w:r>
        <w:rPr>
          <w:rFonts w:ascii="Times New Roman" w:eastAsia="仿宋_GB2312" w:cs="Times New Roman" w:hAnsi="Times New Roman"/>
          <w:sz w:val="32"/>
          <w:szCs w:val="32"/>
        </w:rPr>
        <w:t>98.89</w:t>
      </w:r>
      <w:r>
        <w:rPr>
          <w:rFonts w:ascii="Times New Roman" w:eastAsia="仿宋_GB2312" w:cs="Times New Roman" w:hAnsi="Times New Roman"/>
          <w:color w:val="auto"/>
          <w:kern w:val="2"/>
          <w:sz w:val="32"/>
          <w:szCs w:val="32"/>
          <w:lang w:val="en-US" w:eastAsia="zh-CN" w:bidi="ar-SA"/>
          <w:highlight w:val="auto"/>
        </w:rPr>
        <w:t>%。与上年度相比，一般公共预算财政拨款支出增加22.55万元，增长1%。主要变动原因是</w:t>
      </w:r>
      <w:r>
        <w:rPr>
          <w:rFonts w:ascii="Times New Roman" w:eastAsia="仿宋" w:cs="Times New Roman" w:hAnsi="Times New Roman"/>
          <w:sz w:val="32"/>
          <w:szCs w:val="32"/>
        </w:rPr>
        <w:t>一般公共预算项目支出</w:t>
      </w:r>
      <w:r>
        <w:rPr>
          <w:rFonts w:ascii="Times New Roman" w:eastAsia="仿宋" w:cs="Times New Roman" w:hAnsi="Times New Roman"/>
          <w:sz w:val="32"/>
          <w:szCs w:val="32"/>
          <w:lang w:val="en-US" w:eastAsia="zh-CN"/>
        </w:rPr>
        <w:t>增加。</w:t>
      </w:r>
    </w:p>
    <w:p>
      <w:pPr>
        <w:pStyle w:val="23"/>
        <w:jc w:val="center"/>
        <w:rPr>
          <w:rFonts w:ascii="Times New Roman" w:cs="Times New Roman" w:hAnsi="Times New Roman"/>
        </w:rPr>
      </w:pPr>
      <w:r>
        <w:rPr>
          <w:rFonts w:ascii="Times New Roman" w:eastAsia="仿宋" w:cs="Times New Roman" w:hAnsi="Times New Roman"/>
          <w:sz w:val="32"/>
          <w:szCs w:val="32"/>
        </w:rPr>
        <w:object>
          <v:shape id="_x0000_i5" type="#_x0000_t75" filled="f" stroked="f" style="width:279.5pt;height:164.15pt;" o:ole="">
            <v:stroke color="#000000"/>
            <v:imagedata r:id="rId18" o:title="image5"/>
            <o:lock aspectratio="t"/>
            <w10:anchorLock/>
          </v:shape>
          <o:OLEObject Type="Embed" ProgID="Package" ShapeID="_x0000_i5" DrawAspect="Content" ObjectID="_1393063355" r:id="rId19"/>
        </w:objec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（图5：一般公共预算财政拨款支出决算变动情况）（柱状图）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73" w:name="_Toc15377211"/>
      <w:r>
        <w:rPr>
          <w:rFonts w:ascii="Times New Roman" w:eastAsia="楷体_GB2312" w:cs="Times New Roman" w:hAnsi="Times New Roman"/>
          <w:b/>
          <w:sz w:val="32"/>
          <w:szCs w:val="32"/>
        </w:rPr>
        <w:t>（二）一般公共预算财政拨款支出决算结构情况</w:t>
      </w:r>
      <w:bookmarkEnd w:id="73"/>
    </w:p>
    <w:p>
      <w:pPr>
        <w:spacing w:line="600" w:lineRule="exact"/>
        <w:ind w:firstLine="640"/>
        <w:rPr>
          <w:rFonts w:ascii="Times New Roman" w:eastAsia="仿宋_GB2312" w:cs="Times New Roman" w:hAnsi="Times New Roman"/>
          <w:b w:val="0"/>
          <w:bCs/>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2025年度一般公共预算财政拨款支出</w:t>
      </w:r>
      <w:r>
        <w:rPr>
          <w:rFonts w:ascii="Times New Roman" w:eastAsia="仿宋_GB2312" w:cs="Times New Roman" w:hAnsi="Times New Roman"/>
          <w:sz w:val="32"/>
          <w:szCs w:val="32"/>
        </w:rPr>
        <w:t>2249.58</w:t>
      </w:r>
      <w:r>
        <w:rPr>
          <w:rFonts w:ascii="Times New Roman" w:eastAsia="仿宋_GB2312" w:cs="Times New Roman" w:hAnsi="Times New Roman"/>
          <w:color w:val="auto"/>
          <w:kern w:val="2"/>
          <w:sz w:val="32"/>
          <w:szCs w:val="32"/>
          <w:lang w:val="en-US" w:eastAsia="zh-CN" w:bidi="ar-SA"/>
          <w:highlight w:val="auto"/>
        </w:rPr>
        <w:t>万元，主要用于以下方面：</w:t>
      </w:r>
      <w:r>
        <w:rPr>
          <w:rFonts w:ascii="Times New Roman" w:eastAsia="仿宋" w:cs="Times New Roman" w:hAnsi="Times New Roman"/>
          <w:b w:val="0"/>
          <w:bCs/>
          <w:sz w:val="32"/>
          <w:szCs w:val="32"/>
        </w:rPr>
        <w:t>一般公共服务支出</w:t>
      </w:r>
      <w:r>
        <w:rPr>
          <w:rFonts w:ascii="Times New Roman" w:eastAsia="仿宋" w:cs="Times New Roman" w:hAnsi="Times New Roman"/>
          <w:b w:val="0"/>
          <w:bCs/>
          <w:sz w:val="32"/>
          <w:szCs w:val="32"/>
          <w:lang w:val="en-US" w:eastAsia="zh-CN"/>
        </w:rPr>
        <w:t>8.05</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0.4</w:t>
      </w:r>
      <w:r>
        <w:rPr>
          <w:rFonts w:ascii="Times New Roman" w:eastAsia="仿宋" w:cs="Times New Roman" w:hAnsi="Times New Roman"/>
          <w:b w:val="0"/>
          <w:bCs/>
          <w:sz w:val="32"/>
          <w:szCs w:val="32"/>
        </w:rPr>
        <w:t>%；公共安全支出</w:t>
      </w:r>
      <w:r>
        <w:rPr>
          <w:rFonts w:ascii="Times New Roman" w:eastAsia="仿宋" w:cs="Times New Roman" w:hAnsi="Times New Roman"/>
          <w:b w:val="0"/>
          <w:bCs/>
          <w:sz w:val="32"/>
          <w:szCs w:val="32"/>
          <w:lang w:val="en-US" w:eastAsia="zh-CN"/>
        </w:rPr>
        <w:t>1659.25</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73.8</w:t>
      </w:r>
      <w:r>
        <w:rPr>
          <w:rFonts w:ascii="Times New Roman" w:eastAsia="仿宋" w:cs="Times New Roman" w:hAnsi="Times New Roman"/>
          <w:b w:val="0"/>
          <w:bCs/>
          <w:sz w:val="32"/>
          <w:szCs w:val="32"/>
        </w:rPr>
        <w:t>%；社会保障和就业支出</w:t>
      </w:r>
      <w:r>
        <w:rPr>
          <w:rFonts w:ascii="Times New Roman" w:eastAsia="仿宋" w:cs="Times New Roman" w:hAnsi="Times New Roman"/>
          <w:b w:val="0"/>
          <w:bCs/>
          <w:sz w:val="32"/>
          <w:szCs w:val="32"/>
          <w:lang w:val="en-US" w:eastAsia="zh-CN"/>
        </w:rPr>
        <w:t>358.38</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15.9</w:t>
      </w:r>
      <w:r>
        <w:rPr>
          <w:rFonts w:ascii="Times New Roman" w:eastAsia="仿宋" w:cs="Times New Roman" w:hAnsi="Times New Roman"/>
          <w:b w:val="0"/>
          <w:bCs/>
          <w:sz w:val="32"/>
          <w:szCs w:val="32"/>
        </w:rPr>
        <w:t>%；卫生健康支出</w:t>
      </w:r>
      <w:r>
        <w:rPr>
          <w:rFonts w:ascii="Times New Roman" w:eastAsia="仿宋" w:cs="Times New Roman" w:hAnsi="Times New Roman"/>
          <w:b w:val="0"/>
          <w:bCs/>
          <w:sz w:val="32"/>
          <w:szCs w:val="32"/>
          <w:lang w:val="en-US" w:eastAsia="zh-CN"/>
        </w:rPr>
        <w:t>96.29</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4.3</w:t>
      </w:r>
      <w:r>
        <w:rPr>
          <w:rFonts w:ascii="Times New Roman" w:eastAsia="仿宋" w:cs="Times New Roman" w:hAnsi="Times New Roman"/>
          <w:b w:val="0"/>
          <w:bCs/>
          <w:sz w:val="32"/>
          <w:szCs w:val="32"/>
        </w:rPr>
        <w:t>%；住房保障支出</w:t>
      </w:r>
      <w:r>
        <w:rPr>
          <w:rFonts w:ascii="Times New Roman" w:eastAsia="仿宋" w:cs="Times New Roman" w:hAnsi="Times New Roman"/>
          <w:b w:val="0"/>
          <w:bCs/>
          <w:sz w:val="32"/>
          <w:szCs w:val="32"/>
          <w:lang w:val="en-US" w:eastAsia="zh-CN"/>
        </w:rPr>
        <w:t>127.62</w:t>
      </w:r>
      <w:r>
        <w:rPr>
          <w:rFonts w:ascii="Times New Roman" w:eastAsia="仿宋" w:cs="Times New Roman" w:hAnsi="Times New Roman"/>
          <w:b w:val="0"/>
          <w:bCs/>
          <w:sz w:val="32"/>
          <w:szCs w:val="32"/>
        </w:rPr>
        <w:t>万元，占</w:t>
      </w:r>
      <w:r>
        <w:rPr>
          <w:rFonts w:ascii="Times New Roman" w:eastAsia="仿宋" w:cs="Times New Roman" w:hAnsi="Times New Roman"/>
          <w:b w:val="0"/>
          <w:bCs/>
          <w:sz w:val="32"/>
          <w:szCs w:val="32"/>
          <w:lang w:val="en-US" w:eastAsia="zh-CN"/>
        </w:rPr>
        <w:t>5.7</w:t>
      </w:r>
      <w:r>
        <w:rPr>
          <w:rFonts w:ascii="Times New Roman" w:eastAsia="仿宋" w:cs="Times New Roman" w:hAnsi="Times New Roman"/>
          <w:b w:val="0"/>
          <w:bCs/>
          <w:sz w:val="32"/>
          <w:szCs w:val="32"/>
        </w:rPr>
        <w:t>%。</w:t>
      </w:r>
    </w:p>
    <w:p>
      <w:pPr>
        <w:pStyle w:val="18"/>
        <w:rPr>
          <w:rFonts w:ascii="Times New Roman" w:eastAsia="仿宋_GB2312" w:cs="Times New Roman" w:hAnsi="Times New Roman"/>
          <w:b/>
          <w:bCs/>
          <w:color w:val="auto"/>
          <w:kern w:val="2"/>
          <w:sz w:val="32"/>
          <w:szCs w:val="32"/>
          <w:lang w:val="en-US" w:eastAsia="zh-CN" w:bidi="ar-SA"/>
          <w:highlight w:val="auto"/>
        </w:rPr>
      </w:pPr>
      <w:r>
        <w:rPr>
          <w:rFonts w:ascii="Times New Roman" w:eastAsia="宋体" w:cs="Times New Roman" w:hAnsi="Times New Roman"/>
          <w:lang w:eastAsia="zh-CN"/>
        </w:rPr>
        <w:object>
          <v:shape id="_x0000_i6" type="#_x0000_t75" filled="f" stroked="f" alt="olechartimg_1788147288255593_358287360" style="width:318.15pt;height:193.39998pt;" o:ole="">
            <v:stroke color="#000000"/>
            <v:imagedata r:id="rId20" o:title="image6"/>
            <o:lock aspectratio="t"/>
            <w10:anchorLock/>
          </v:shape>
          <o:OLEObject Type="Embed" ProgID="Package" ShapeID="_x0000_i6" DrawAspect="Content" ObjectID="_1393063356" r:id="rId21"/>
        </w:objec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（图6：一般公共预算财政拨款支出决算结构）（饼状图）</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74" w:name="_Toc15377212"/>
      <w:r>
        <w:rPr>
          <w:rFonts w:ascii="Times New Roman" w:eastAsia="楷体_GB2312" w:cs="Times New Roman" w:hAnsi="Times New Roman"/>
          <w:b/>
          <w:sz w:val="32"/>
          <w:szCs w:val="32"/>
        </w:rPr>
        <w:t>（三）一般公共预算财政拨款支出决算具体情况</w:t>
      </w:r>
      <w:bookmarkEnd w:id="74"/>
    </w:p>
    <w:p>
      <w:pPr>
        <w:spacing w:line="600" w:lineRule="exact"/>
        <w:ind w:firstLineChars="200" w:firstLine="640"/>
        <w:outlineLvl w:val="2"/>
        <w:rPr>
          <w:rStyle w:val="25"/>
          <w:rFonts w:ascii="Times New Roman" w:eastAsia="仿宋" w:cs="Times New Roman" w:hAnsi="Times New Roman"/>
          <w:b w:val="0"/>
          <w:bCs/>
          <w:sz w:val="32"/>
          <w:szCs w:val="32"/>
        </w:rPr>
      </w:pPr>
      <w:bookmarkStart w:id="75" w:name="_Toc15377213"/>
      <w:bookmarkStart w:id="76" w:name="_Toc15378460"/>
      <w:bookmarkStart w:id="77" w:name="_Toc176939607"/>
      <w:bookmarkStart w:id="78" w:name="_Toc15377444"/>
      <w:r>
        <w:rPr>
          <w:rFonts w:ascii="Times New Roman" w:eastAsia="仿宋" w:cs="Times New Roman" w:hAnsi="Times New Roman"/>
          <w:b w:val="0"/>
          <w:bCs/>
          <w:sz w:val="32"/>
          <w:szCs w:val="32"/>
        </w:rPr>
        <w:t>202</w:t>
      </w:r>
      <w:r>
        <w:rPr>
          <w:rFonts w:ascii="Times New Roman" w:eastAsia="仿宋" w:cs="Times New Roman" w:hAnsi="Times New Roman"/>
          <w:b w:val="0"/>
          <w:bCs/>
          <w:sz w:val="32"/>
          <w:szCs w:val="32"/>
          <w:lang w:val="en-US" w:eastAsia="zh-CN"/>
        </w:rPr>
        <w:t>5</w:t>
      </w:r>
      <w:r>
        <w:rPr>
          <w:rFonts w:ascii="Times New Roman" w:eastAsia="仿宋" w:cs="Times New Roman" w:hAnsi="Times New Roman"/>
          <w:b w:val="0"/>
          <w:bCs/>
          <w:sz w:val="32"/>
          <w:szCs w:val="32"/>
        </w:rPr>
        <w:t>年度一般公共预算支出决算数为</w:t>
      </w:r>
      <w:r>
        <w:rPr>
          <w:rFonts w:ascii="Times New Roman" w:eastAsia="仿宋" w:cs="Times New Roman" w:hAnsi="Times New Roman"/>
          <w:b w:val="0"/>
          <w:bCs/>
          <w:sz w:val="32"/>
          <w:szCs w:val="32"/>
          <w:lang w:val="en-US" w:eastAsia="zh-CN"/>
        </w:rPr>
        <w:t>2249.58</w:t>
      </w:r>
      <w:r>
        <w:rPr>
          <w:rFonts w:ascii="Times New Roman" w:eastAsia="仿宋" w:cs="Times New Roman" w:hAnsi="Times New Roman"/>
          <w:b w:val="0"/>
          <w:bCs/>
          <w:sz w:val="32"/>
          <w:szCs w:val="32"/>
        </w:rPr>
        <w:t>万元，</w:t>
      </w:r>
      <w:r>
        <w:rPr>
          <w:rStyle w:val="25"/>
          <w:rFonts w:ascii="Times New Roman" w:eastAsia="仿宋" w:cs="Times New Roman" w:hAnsi="Times New Roman"/>
          <w:b w:val="0"/>
          <w:bCs/>
          <w:sz w:val="32"/>
          <w:szCs w:val="32"/>
        </w:rPr>
        <w:t>完成预算100%。其中：</w:t>
      </w:r>
      <w:bookmarkEnd w:id="75"/>
      <w:bookmarkEnd w:id="76"/>
      <w:bookmarkEnd w:id="77"/>
      <w:bookmarkEnd w:id="78"/>
    </w:p>
    <w:p>
      <w:pPr>
        <w:pStyle w:val="23"/>
        <w:rPr>
          <w:rFonts w:ascii="Times New Roman" w:cs="Times New Roman" w:hAnsi="Times New Roman"/>
          <w:b w:val="0"/>
          <w:bCs/>
        </w:rPr>
      </w:pPr>
    </w:p>
    <w:p>
      <w:pPr>
        <w:spacing w:line="600" w:lineRule="exact"/>
        <w:ind w:firstLine="643"/>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sz w:val="32"/>
          <w:szCs w:val="32"/>
        </w:rPr>
        <w:t>一般公共服务（类）组织事务（款）其他组织事务支出（项）:</w:t>
      </w:r>
      <w:r>
        <w:rPr>
          <w:rStyle w:val="25"/>
          <w:rFonts w:ascii="Times New Roman" w:eastAsia="仿宋" w:cs="Times New Roman" w:hAnsi="Times New Roman"/>
          <w:b w:val="0"/>
          <w:bCs/>
          <w:sz w:val="32"/>
          <w:szCs w:val="32"/>
        </w:rPr>
        <w:t>支出决算为</w:t>
      </w:r>
      <w:r>
        <w:rPr>
          <w:rStyle w:val="25"/>
          <w:rFonts w:ascii="Times New Roman" w:eastAsia="仿宋" w:cs="Times New Roman" w:hAnsi="Times New Roman"/>
          <w:b w:val="0"/>
          <w:bCs/>
          <w:sz w:val="32"/>
          <w:szCs w:val="32"/>
          <w:lang w:val="en-US" w:eastAsia="zh-CN"/>
        </w:rPr>
        <w:t>8.05</w:t>
      </w:r>
      <w:r>
        <w:rPr>
          <w:rStyle w:val="25"/>
          <w:rFonts w:ascii="Times New Roman" w:eastAsia="仿宋" w:cs="Times New Roman" w:hAnsi="Times New Roman"/>
          <w:b w:val="0"/>
          <w:bCs/>
          <w:sz w:val="32"/>
          <w:szCs w:val="32"/>
        </w:rPr>
        <w:t>万元，完成预算100%，</w:t>
      </w:r>
      <w:r>
        <w:rPr>
          <w:rFonts w:ascii="Times New Roman" w:eastAsia="仿宋" w:cs="Times New Roman" w:hAnsi="Times New Roman"/>
          <w:b w:val="0"/>
          <w:bCs/>
          <w:kern w:val="0"/>
          <w:sz w:val="32"/>
          <w:szCs w:val="32"/>
        </w:rPr>
        <w:t>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2.</w:t>
      </w:r>
      <w:r>
        <w:rPr>
          <w:rFonts w:ascii="Times New Roman" w:eastAsia="仿宋" w:cs="Times New Roman" w:hAnsi="Times New Roman"/>
          <w:b w:val="0"/>
          <w:bCs/>
          <w:sz w:val="32"/>
          <w:szCs w:val="32"/>
        </w:rPr>
        <w:t>公共安全支出（类）司法（款）行政运行（项）: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1343.74</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3.</w:t>
      </w:r>
      <w:r>
        <w:rPr>
          <w:rFonts w:ascii="Times New Roman" w:eastAsia="仿宋" w:cs="Times New Roman" w:hAnsi="Times New Roman"/>
          <w:b w:val="0"/>
          <w:bCs/>
          <w:sz w:val="32"/>
          <w:szCs w:val="32"/>
        </w:rPr>
        <w:t>公共安全支出（类）司法（款）一般行政管理事务（项）: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10</w:t>
      </w:r>
      <w:r>
        <w:rPr>
          <w:rFonts w:ascii="Times New Roman" w:eastAsia="仿宋" w:cs="Times New Roman" w:hAnsi="Times New Roman"/>
          <w:b w:val="0"/>
          <w:bCs/>
          <w:kern w:val="0"/>
          <w:sz w:val="32"/>
          <w:szCs w:val="32"/>
        </w:rPr>
        <w:t>万元，完成预算100%，决算数等于预算数。</w:t>
      </w:r>
    </w:p>
    <w:p>
      <w:pPr>
        <w:pStyle w:val="23"/>
        <w:rPr>
          <w:rFonts w:ascii="Times New Roman" w:cs="Times New Roman" w:hAnsi="Times New Roman"/>
          <w:b w:val="0"/>
          <w:bCs/>
        </w:rPr>
      </w:pPr>
    </w:p>
    <w:p>
      <w:pPr>
        <w:pStyle w:val="18"/>
        <w:ind w:leftChars="0" w:left="0" w:firstLineChars="200" w:firstLine="640"/>
        <w:rPr>
          <w:rFonts w:ascii="Times New Roman" w:eastAsia="仿宋" w:cs="Times New Roman" w:hAnsi="Times New Roman"/>
          <w:b w:val="0"/>
          <w:bCs/>
          <w:kern w:val="0"/>
          <w:sz w:val="32"/>
        </w:rPr>
      </w:pPr>
      <w:r>
        <w:rPr>
          <w:rFonts w:ascii="Times New Roman" w:eastAsia="仿宋" w:cs="Times New Roman" w:hAnsi="Times New Roman"/>
          <w:b w:val="0"/>
          <w:bCs/>
          <w:kern w:val="0"/>
          <w:sz w:val="32"/>
        </w:rPr>
        <w:t>4.</w:t>
      </w:r>
      <w:r>
        <w:rPr>
          <w:rFonts w:ascii="Times New Roman" w:eastAsia="仿宋" w:cs="Times New Roman" w:hAnsi="Times New Roman"/>
          <w:b w:val="0"/>
          <w:bCs/>
          <w:sz w:val="32"/>
        </w:rPr>
        <w:t>公共安全支出（类）司法（款）</w:t>
      </w:r>
      <w:r>
        <w:rPr>
          <w:rFonts w:ascii="Times New Roman" w:eastAsia="仿宋" w:cs="Times New Roman" w:hAnsi="Times New Roman"/>
          <w:b w:val="0"/>
          <w:bCs/>
          <w:sz w:val="32"/>
          <w:lang w:eastAsia="zh-CN"/>
        </w:rPr>
        <w:t>律师管理</w:t>
      </w:r>
      <w:r>
        <w:rPr>
          <w:rFonts w:ascii="Times New Roman" w:eastAsia="仿宋" w:cs="Times New Roman" w:hAnsi="Times New Roman"/>
          <w:b w:val="0"/>
          <w:bCs/>
          <w:sz w:val="32"/>
        </w:rPr>
        <w:t>（项）:</w:t>
      </w:r>
      <w:r>
        <w:rPr>
          <w:rFonts w:ascii="Times New Roman" w:eastAsia="仿宋" w:cs="Times New Roman" w:hAnsi="Times New Roman"/>
          <w:b w:val="0"/>
          <w:bCs/>
          <w:kern w:val="0"/>
          <w:sz w:val="32"/>
        </w:rPr>
        <w:t xml:space="preserve"> 支出决算为</w:t>
      </w:r>
      <w:r>
        <w:rPr>
          <w:rFonts w:ascii="Times New Roman" w:eastAsia="仿宋" w:cs="Times New Roman" w:hAnsi="Times New Roman"/>
          <w:b w:val="0"/>
          <w:bCs/>
          <w:kern w:val="0"/>
          <w:sz w:val="32"/>
          <w:lang w:val="en-US" w:eastAsia="zh-CN"/>
        </w:rPr>
        <w:t>11.46</w:t>
      </w:r>
      <w:r>
        <w:rPr>
          <w:rFonts w:ascii="Times New Roman" w:eastAsia="仿宋" w:cs="Times New Roman" w:hAnsi="Times New Roman"/>
          <w:b w:val="0"/>
          <w:bCs/>
          <w:kern w:val="0"/>
          <w:sz w:val="32"/>
        </w:rPr>
        <w:t>万元，完成预算100%，决算数等于预算数。</w:t>
      </w:r>
    </w:p>
    <w:p>
      <w:pPr>
        <w:pStyle w:val="18"/>
        <w:ind w:leftChars="0" w:left="0" w:firstLineChars="200" w:firstLine="640"/>
        <w:rPr>
          <w:rFonts w:ascii="Times New Roman" w:cs="Times New Roman" w:hAnsi="Times New Roman"/>
          <w:b w:val="0"/>
          <w:bCs/>
        </w:rPr>
      </w:pPr>
      <w:r>
        <w:rPr>
          <w:rFonts w:ascii="Times New Roman" w:eastAsia="仿宋" w:cs="Times New Roman" w:hAnsi="Times New Roman"/>
          <w:b w:val="0"/>
          <w:bCs/>
          <w:kern w:val="0"/>
          <w:sz w:val="32"/>
          <w:lang w:val="en-US" w:eastAsia="zh-CN"/>
        </w:rPr>
        <w:t>5</w:t>
      </w:r>
      <w:r>
        <w:rPr>
          <w:rFonts w:ascii="Times New Roman" w:eastAsia="仿宋" w:cs="Times New Roman" w:hAnsi="Times New Roman"/>
          <w:b w:val="0"/>
          <w:bCs/>
          <w:kern w:val="0"/>
          <w:sz w:val="32"/>
        </w:rPr>
        <w:t>.</w:t>
      </w:r>
      <w:r>
        <w:rPr>
          <w:rFonts w:ascii="Times New Roman" w:eastAsia="仿宋" w:cs="Times New Roman" w:hAnsi="Times New Roman"/>
          <w:b w:val="0"/>
          <w:bCs/>
          <w:sz w:val="32"/>
        </w:rPr>
        <w:t>公共安全支出（类）司法（款）公共法律服务（项）:</w:t>
      </w:r>
      <w:r>
        <w:rPr>
          <w:rFonts w:ascii="Times New Roman" w:eastAsia="仿宋" w:cs="Times New Roman" w:hAnsi="Times New Roman"/>
          <w:b w:val="0"/>
          <w:bCs/>
          <w:kern w:val="0"/>
          <w:sz w:val="32"/>
        </w:rPr>
        <w:t xml:space="preserve"> 支出决算为</w:t>
      </w:r>
      <w:r>
        <w:rPr>
          <w:rFonts w:ascii="Times New Roman" w:eastAsia="仿宋" w:cs="Times New Roman" w:hAnsi="Times New Roman"/>
          <w:b w:val="0"/>
          <w:bCs/>
          <w:kern w:val="0"/>
          <w:sz w:val="32"/>
          <w:lang w:val="en-US" w:eastAsia="zh-CN"/>
        </w:rPr>
        <w:t>101.3</w:t>
      </w:r>
      <w:r>
        <w:rPr>
          <w:rFonts w:ascii="Times New Roman" w:eastAsia="仿宋" w:cs="Times New Roman" w:hAnsi="Times New Roman"/>
          <w:b w:val="0"/>
          <w:bCs/>
          <w:kern w:val="0"/>
          <w:sz w:val="32"/>
        </w:rPr>
        <w:t>万元，完成预算100%，决算数等于预算数。</w:t>
      </w:r>
    </w:p>
    <w:p>
      <w:pPr>
        <w:spacing w:line="600" w:lineRule="exact"/>
        <w:ind w:firstLineChars="200" w:firstLine="640"/>
        <w:rPr>
          <w:rFonts w:ascii="Times New Roman" w:eastAsia="仿宋" w:cs="Times New Roman" w:hAnsi="Times New Roman"/>
          <w:b w:val="0"/>
          <w:bCs/>
          <w:color w:val="000000"/>
          <w:kern w:val="0"/>
          <w:sz w:val="32"/>
          <w:szCs w:val="32"/>
        </w:rPr>
      </w:pPr>
      <w:r>
        <w:rPr>
          <w:rFonts w:ascii="Times New Roman" w:eastAsia="仿宋" w:cs="Times New Roman" w:hAnsi="Times New Roman"/>
          <w:b w:val="0"/>
          <w:bCs/>
          <w:kern w:val="0"/>
          <w:sz w:val="32"/>
          <w:szCs w:val="32"/>
          <w:lang w:val="en-US" w:eastAsia="zh-CN"/>
        </w:rPr>
        <w:t>6</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公共安全支出（类）司法（款）事业运行（项）: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50.37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7</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公共安全支出（类）司法（款）其他司法支出（项）:</w:t>
      </w:r>
      <w:r>
        <w:rPr>
          <w:rFonts w:ascii="Times New Roman" w:eastAsia="仿宋" w:cs="Times New Roman" w:hAnsi="Times New Roman"/>
          <w:b w:val="0"/>
          <w:bCs/>
          <w:kern w:val="0"/>
          <w:sz w:val="32"/>
          <w:szCs w:val="32"/>
        </w:rPr>
        <w:t>支出决算为</w:t>
      </w:r>
      <w:r>
        <w:rPr>
          <w:rFonts w:ascii="Times New Roman" w:eastAsia="仿宋" w:cs="Times New Roman" w:hAnsi="Times New Roman"/>
          <w:b w:val="0"/>
          <w:bCs/>
          <w:kern w:val="0"/>
          <w:sz w:val="32"/>
          <w:szCs w:val="32"/>
          <w:lang w:val="en-US" w:eastAsia="zh-CN"/>
        </w:rPr>
        <w:t>142.37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8</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sz w:val="32"/>
          <w:szCs w:val="32"/>
        </w:rPr>
        <w:t>（类）</w:t>
      </w:r>
      <w:r>
        <w:rPr>
          <w:rFonts w:ascii="Times New Roman" w:eastAsia="仿宋" w:cs="Times New Roman" w:hAnsi="Times New Roman"/>
          <w:b w:val="0"/>
          <w:bCs/>
          <w:sz w:val="32"/>
          <w:szCs w:val="32"/>
          <w:lang w:eastAsia="zh-CN"/>
        </w:rPr>
        <w:t>人力资源和社会保障管理事务</w:t>
      </w:r>
      <w:r>
        <w:rPr>
          <w:rFonts w:ascii="Times New Roman" w:eastAsia="仿宋" w:cs="Times New Roman" w:hAnsi="Times New Roman"/>
          <w:b w:val="0"/>
          <w:bCs/>
          <w:sz w:val="32"/>
          <w:szCs w:val="32"/>
        </w:rPr>
        <w:t>（款）</w:t>
      </w:r>
      <w:r>
        <w:rPr>
          <w:rFonts w:ascii="Times New Roman" w:eastAsia="仿宋" w:cs="Times New Roman" w:hAnsi="Times New Roman"/>
          <w:b w:val="0"/>
          <w:bCs/>
          <w:sz w:val="32"/>
          <w:szCs w:val="32"/>
          <w:lang w:eastAsia="zh-CN"/>
        </w:rPr>
        <w:t>其他人力资源和社会保障管理事务支出</w:t>
      </w:r>
      <w:r>
        <w:rPr>
          <w:rFonts w:ascii="Times New Roman" w:eastAsia="仿宋" w:cs="Times New Roman" w:hAnsi="Times New Roman"/>
          <w:b w:val="0"/>
          <w:bCs/>
          <w:sz w:val="32"/>
          <w:szCs w:val="32"/>
        </w:rPr>
        <w:t>（项）:支出决算为</w:t>
      </w:r>
      <w:r>
        <w:rPr>
          <w:rFonts w:ascii="Times New Roman" w:eastAsia="仿宋" w:cs="Times New Roman" w:hAnsi="Times New Roman"/>
          <w:b w:val="0"/>
          <w:bCs/>
          <w:sz w:val="32"/>
          <w:szCs w:val="32"/>
          <w:lang w:val="en-US" w:eastAsia="zh-CN"/>
        </w:rPr>
        <w:t>8</w:t>
      </w:r>
      <w:r>
        <w:rPr>
          <w:rFonts w:ascii="Times New Roman" w:eastAsia="仿宋" w:cs="Times New Roman" w:hAnsi="Times New Roman"/>
          <w:b w:val="0"/>
          <w:bCs/>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lang w:val="en-US" w:eastAsia="zh-CN"/>
        </w:rPr>
        <w:t>9</w:t>
      </w:r>
      <w:r>
        <w:rPr>
          <w:rFonts w:ascii="Times New Roman" w:eastAsia="仿宋" w:cs="Times New Roman" w:hAnsi="Times New Roman"/>
          <w:b w:val="0"/>
          <w:bCs/>
          <w:kern w:val="0"/>
          <w:sz w:val="32"/>
          <w:szCs w:val="32"/>
        </w:rPr>
        <w:t>.</w:t>
      </w:r>
      <w:r>
        <w:rPr>
          <w:rFonts w:ascii="Times New Roman" w:eastAsia="仿宋" w:cs="Times New Roman" w:hAnsi="Times New Roman"/>
          <w:b w:val="0"/>
          <w:bCs/>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sz w:val="32"/>
          <w:szCs w:val="32"/>
        </w:rPr>
        <w:t>（类）行政事业单位养老支出（款）行政单位离退休（项）:支出决算为</w:t>
      </w:r>
      <w:r>
        <w:rPr>
          <w:rFonts w:ascii="Times New Roman" w:eastAsia="仿宋" w:cs="Times New Roman" w:hAnsi="Times New Roman"/>
          <w:b w:val="0"/>
          <w:bCs/>
          <w:sz w:val="32"/>
          <w:szCs w:val="32"/>
          <w:lang w:val="en-US" w:eastAsia="zh-CN"/>
        </w:rPr>
        <w:t>163.36</w:t>
      </w:r>
      <w:r>
        <w:rPr>
          <w:rFonts w:ascii="Times New Roman" w:eastAsia="仿宋" w:cs="Times New Roman" w:hAnsi="Times New Roman"/>
          <w:b w:val="0"/>
          <w:bCs/>
          <w:sz w:val="32"/>
          <w:szCs w:val="32"/>
        </w:rPr>
        <w:t>万元，完成预算100%，决算数等于预算数。</w:t>
      </w:r>
    </w:p>
    <w:p>
      <w:pPr>
        <w:pStyle w:val="16"/>
        <w:spacing w:beforeLines="0" w:before="93"/>
        <w:rPr>
          <w:rFonts w:ascii="Times New Roman" w:eastAsia="仿宋" w:cs="Times New Roman" w:hAnsi="Times New Roman"/>
          <w:b w:val="0"/>
          <w:bCs/>
          <w:sz w:val="32"/>
          <w:szCs w:val="32"/>
        </w:rPr>
      </w:pPr>
      <w:r>
        <w:rPr>
          <w:rFonts w:ascii="Times New Roman" w:eastAsia="仿宋" w:cs="Times New Roman" w:hAnsi="Times New Roman"/>
          <w:b w:val="0"/>
          <w:bCs/>
        </w:rPr>
        <w:t xml:space="preserve"> </w:t>
      </w:r>
      <w:r>
        <w:rPr>
          <w:rFonts w:ascii="Times New Roman" w:eastAsia="仿宋" w:cs="Times New Roman" w:hAnsi="Times New Roman"/>
          <w:b w:val="0"/>
          <w:bCs/>
          <w:sz w:val="32"/>
          <w:szCs w:val="32"/>
        </w:rPr>
        <w:t xml:space="preserve">   </w:t>
      </w:r>
      <w:r>
        <w:rPr>
          <w:rFonts w:ascii="Times New Roman" w:eastAsia="仿宋" w:cs="Times New Roman" w:hAnsi="Times New Roman"/>
          <w:b w:val="0"/>
          <w:bCs/>
          <w:sz w:val="32"/>
          <w:szCs w:val="32"/>
          <w:lang w:val="en-US" w:eastAsia="zh-CN"/>
        </w:rPr>
        <w:t>10</w:t>
      </w:r>
      <w:r>
        <w:rPr>
          <w:rFonts w:ascii="Times New Roman" w:eastAsia="仿宋" w:cs="Times New Roman" w:hAnsi="Times New Roman"/>
          <w:b w:val="0"/>
          <w:bCs/>
          <w:sz w:val="32"/>
          <w:szCs w:val="32"/>
        </w:rPr>
        <w:t>.</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（类）行政事业单位养老支出（款）事业单位离退休（项）:支出决算为</w:t>
      </w:r>
      <w:r>
        <w:rPr>
          <w:rFonts w:ascii="Times New Roman" w:eastAsia="仿宋" w:cs="Times New Roman" w:hAnsi="Times New Roman"/>
          <w:b w:val="0"/>
          <w:bCs/>
          <w:kern w:val="0"/>
          <w:sz w:val="32"/>
          <w:szCs w:val="32"/>
          <w:lang w:val="en-US" w:eastAsia="zh-CN"/>
        </w:rPr>
        <w:t>31.37</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cs="Times New Roman" w:hAnsi="Times New Roman"/>
          <w:b w:val="0"/>
          <w:bCs/>
        </w:rPr>
      </w:pPr>
      <w:r>
        <w:rPr>
          <w:rFonts w:ascii="Times New Roman" w:eastAsia="仿宋" w:cs="Times New Roman" w:hAnsi="Times New Roman"/>
          <w:b w:val="0"/>
          <w:bCs/>
          <w:kern w:val="0"/>
          <w:sz w:val="32"/>
          <w:szCs w:val="32"/>
          <w:lang w:val="en-US" w:eastAsia="zh-CN"/>
        </w:rPr>
        <w:t>11</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（类）行政事业单位养老支出（款）机关事业单位基本养老保险缴费支出（项）:支出决算为</w:t>
      </w:r>
      <w:r>
        <w:rPr>
          <w:rFonts w:ascii="Times New Roman" w:eastAsia="仿宋" w:cs="Times New Roman" w:hAnsi="Times New Roman"/>
          <w:b w:val="0"/>
          <w:bCs/>
          <w:kern w:val="0"/>
          <w:sz w:val="32"/>
          <w:szCs w:val="32"/>
          <w:lang w:val="en-US" w:eastAsia="zh-CN"/>
        </w:rPr>
        <w:t>147.28</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2</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sz w:val="32"/>
          <w:szCs w:val="32"/>
          <w:lang w:eastAsia="zh-CN"/>
        </w:rPr>
        <w:t>支出</w:t>
      </w:r>
      <w:r>
        <w:rPr>
          <w:rFonts w:ascii="Times New Roman" w:eastAsia="仿宋" w:cs="Times New Roman" w:hAnsi="Times New Roman"/>
          <w:b w:val="0"/>
          <w:bCs/>
          <w:kern w:val="0"/>
          <w:sz w:val="32"/>
          <w:szCs w:val="32"/>
        </w:rPr>
        <w:t>（类）行政事业单位养老支出（款）机关事业单位职业年金缴费支出（项）:支出决算为</w:t>
      </w:r>
      <w:r>
        <w:rPr>
          <w:rFonts w:ascii="Times New Roman" w:eastAsia="仿宋" w:cs="Times New Roman" w:hAnsi="Times New Roman"/>
          <w:b w:val="0"/>
          <w:bCs/>
          <w:kern w:val="0"/>
          <w:sz w:val="32"/>
          <w:szCs w:val="32"/>
          <w:lang w:val="en-US" w:eastAsia="zh-CN"/>
        </w:rPr>
        <w:t>7.27</w:t>
      </w:r>
      <w:r>
        <w:rPr>
          <w:rFonts w:ascii="Times New Roman" w:eastAsia="仿宋" w:cs="Times New Roman" w:hAnsi="Times New Roman"/>
          <w:b w:val="0"/>
          <w:bCs/>
          <w:kern w:val="0"/>
          <w:sz w:val="32"/>
          <w:szCs w:val="32"/>
        </w:rPr>
        <w:t>万元，完成预算100%，决算数等于预算数。</w:t>
      </w:r>
    </w:p>
    <w:p>
      <w:pPr>
        <w:pStyle w:val="16"/>
        <w:spacing w:beforeLines="0" w:before="93"/>
        <w:ind w:firstLineChars="200" w:firstLine="640"/>
        <w:rPr>
          <w:rFonts w:ascii="Times New Roman" w:eastAsia="仿宋" w:cs="Times New Roman" w:hAnsi="Times New Roman"/>
          <w:b w:val="0"/>
          <w:bCs/>
          <w:sz w:val="32"/>
          <w:szCs w:val="32"/>
        </w:rPr>
      </w:pPr>
      <w:r>
        <w:rPr>
          <w:rFonts w:ascii="Times New Roman" w:eastAsia="仿宋" w:cs="Times New Roman" w:hAnsi="Times New Roman"/>
          <w:b w:val="0"/>
          <w:bCs/>
          <w:sz w:val="32"/>
          <w:szCs w:val="32"/>
        </w:rPr>
        <w:t>1</w:t>
      </w:r>
      <w:r>
        <w:rPr>
          <w:rFonts w:ascii="Times New Roman" w:eastAsia="仿宋" w:cs="Times New Roman" w:hAnsi="Times New Roman"/>
          <w:b w:val="0"/>
          <w:bCs/>
          <w:sz w:val="32"/>
          <w:szCs w:val="32"/>
          <w:lang w:val="en-US" w:eastAsia="zh-CN"/>
        </w:rPr>
        <w:t>3</w:t>
      </w:r>
      <w:r>
        <w:rPr>
          <w:rFonts w:ascii="Times New Roman" w:eastAsia="仿宋" w:cs="Times New Roman" w:hAnsi="Times New Roman"/>
          <w:b w:val="0"/>
          <w:bCs/>
          <w:sz w:val="32"/>
          <w:szCs w:val="32"/>
        </w:rPr>
        <w:t>.</w:t>
      </w:r>
      <w:r>
        <w:rPr>
          <w:rFonts w:ascii="Times New Roman" w:eastAsia="仿宋" w:cs="Times New Roman" w:hAnsi="Times New Roman"/>
          <w:b w:val="0"/>
          <w:bCs/>
          <w:kern w:val="0"/>
          <w:sz w:val="32"/>
          <w:szCs w:val="32"/>
        </w:rPr>
        <w:t>社会保障和就业</w:t>
      </w:r>
      <w:r>
        <w:rPr>
          <w:rFonts w:ascii="Times New Roman" w:eastAsia="仿宋" w:cs="Times New Roman" w:hAnsi="Times New Roman"/>
          <w:b w:val="0"/>
          <w:bCs/>
          <w:kern w:val="0"/>
          <w:sz w:val="32"/>
          <w:szCs w:val="32"/>
          <w:lang w:eastAsia="zh-CN"/>
        </w:rPr>
        <w:t>支出</w:t>
      </w:r>
      <w:r>
        <w:rPr>
          <w:rFonts w:ascii="Times New Roman" w:eastAsia="仿宋" w:cs="Times New Roman" w:hAnsi="Times New Roman"/>
          <w:b w:val="0"/>
          <w:bCs/>
          <w:kern w:val="0"/>
          <w:sz w:val="32"/>
          <w:szCs w:val="32"/>
        </w:rPr>
        <w:t>（类）</w:t>
      </w:r>
      <w:r>
        <w:rPr>
          <w:rFonts w:ascii="Times New Roman" w:eastAsia="仿宋" w:cs="Times New Roman" w:hAnsi="Times New Roman"/>
          <w:b w:val="0"/>
          <w:bCs/>
          <w:kern w:val="0"/>
          <w:sz w:val="32"/>
          <w:szCs w:val="32"/>
          <w:lang w:val="en-US" w:eastAsia="zh-CN"/>
        </w:rPr>
        <w:t>社会福利</w:t>
      </w:r>
      <w:r>
        <w:rPr>
          <w:rFonts w:ascii="Times New Roman" w:eastAsia="仿宋" w:cs="Times New Roman" w:hAnsi="Times New Roman"/>
          <w:b w:val="0"/>
          <w:bCs/>
          <w:kern w:val="0"/>
          <w:sz w:val="32"/>
          <w:szCs w:val="32"/>
        </w:rPr>
        <w:t>（款）</w:t>
      </w:r>
      <w:r>
        <w:rPr>
          <w:rFonts w:ascii="Times New Roman" w:eastAsia="仿宋" w:cs="Times New Roman" w:hAnsi="Times New Roman"/>
          <w:b w:val="0"/>
          <w:bCs/>
          <w:kern w:val="0"/>
          <w:sz w:val="32"/>
          <w:szCs w:val="32"/>
          <w:lang w:val="en-US" w:eastAsia="zh-CN"/>
        </w:rPr>
        <w:t>儿童福利</w:t>
      </w:r>
      <w:r>
        <w:rPr>
          <w:rFonts w:ascii="Times New Roman" w:eastAsia="仿宋" w:cs="Times New Roman" w:hAnsi="Times New Roman"/>
          <w:b w:val="0"/>
          <w:bCs/>
          <w:kern w:val="0"/>
          <w:sz w:val="32"/>
          <w:szCs w:val="32"/>
        </w:rPr>
        <w:t>（项）:支出决算为</w:t>
      </w:r>
      <w:r>
        <w:rPr>
          <w:rFonts w:ascii="Times New Roman" w:eastAsia="仿宋" w:cs="Times New Roman" w:hAnsi="Times New Roman"/>
          <w:b w:val="0"/>
          <w:bCs/>
          <w:kern w:val="0"/>
          <w:sz w:val="32"/>
          <w:szCs w:val="32"/>
          <w:lang w:val="en-US" w:eastAsia="zh-CN"/>
        </w:rPr>
        <w:t>1.09</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4</w:t>
      </w:r>
      <w:r>
        <w:rPr>
          <w:rFonts w:ascii="Times New Roman" w:eastAsia="仿宋" w:cs="Times New Roman" w:hAnsi="Times New Roman"/>
          <w:b w:val="0"/>
          <w:bCs/>
          <w:kern w:val="0"/>
          <w:sz w:val="32"/>
          <w:szCs w:val="32"/>
        </w:rPr>
        <w:t>.卫生健康支出（类）行政事业单位医疗（款）行政单位医疗（项）:支出决算为</w:t>
      </w:r>
      <w:r>
        <w:rPr>
          <w:rFonts w:ascii="Times New Roman" w:eastAsia="仿宋" w:cs="Times New Roman" w:hAnsi="Times New Roman"/>
          <w:b w:val="0"/>
          <w:bCs/>
          <w:kern w:val="0"/>
          <w:sz w:val="32"/>
          <w:szCs w:val="32"/>
          <w:lang w:val="en-US" w:eastAsia="zh-CN"/>
        </w:rPr>
        <w:t>83.93</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5</w:t>
      </w:r>
      <w:r>
        <w:rPr>
          <w:rFonts w:ascii="Times New Roman" w:eastAsia="仿宋" w:cs="Times New Roman" w:hAnsi="Times New Roman"/>
          <w:b w:val="0"/>
          <w:bCs/>
          <w:kern w:val="0"/>
          <w:sz w:val="32"/>
          <w:szCs w:val="32"/>
        </w:rPr>
        <w:t>.卫生健康支出（类）行政事业单位医疗（款）事业单位医疗（项）:支出决算为</w:t>
      </w:r>
      <w:r>
        <w:rPr>
          <w:rFonts w:ascii="Times New Roman" w:eastAsia="仿宋" w:cs="Times New Roman" w:hAnsi="Times New Roman"/>
          <w:b w:val="0"/>
          <w:bCs/>
          <w:kern w:val="0"/>
          <w:sz w:val="32"/>
          <w:szCs w:val="32"/>
          <w:lang w:val="en-US" w:eastAsia="zh-CN"/>
        </w:rPr>
        <w:t>3.46</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w:t>
      </w:r>
      <w:r>
        <w:rPr>
          <w:rFonts w:ascii="Times New Roman" w:eastAsia="仿宋" w:cs="Times New Roman" w:hAnsi="Times New Roman"/>
          <w:b w:val="0"/>
          <w:bCs/>
          <w:kern w:val="0"/>
          <w:sz w:val="32"/>
          <w:szCs w:val="32"/>
          <w:lang w:val="en-US" w:eastAsia="zh-CN"/>
        </w:rPr>
        <w:t>6</w:t>
      </w:r>
      <w:r>
        <w:rPr>
          <w:rFonts w:ascii="Times New Roman" w:eastAsia="仿宋" w:cs="Times New Roman" w:hAnsi="Times New Roman"/>
          <w:b w:val="0"/>
          <w:bCs/>
          <w:kern w:val="0"/>
          <w:sz w:val="32"/>
          <w:szCs w:val="32"/>
        </w:rPr>
        <w:t>.卫生健康支出（类）行政事业单位医疗（款）公务员医疗补助（项）:支出决算为</w:t>
      </w:r>
      <w:r>
        <w:rPr>
          <w:rFonts w:ascii="Times New Roman" w:eastAsia="仿宋" w:cs="Times New Roman" w:hAnsi="Times New Roman"/>
          <w:b w:val="0"/>
          <w:bCs/>
          <w:kern w:val="0"/>
          <w:sz w:val="32"/>
          <w:szCs w:val="32"/>
          <w:lang w:val="en-US" w:eastAsia="zh-CN"/>
        </w:rPr>
        <w:t>8.54</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kern w:val="0"/>
          <w:sz w:val="32"/>
          <w:szCs w:val="32"/>
        </w:rPr>
      </w:pPr>
      <w:r>
        <w:rPr>
          <w:rFonts w:ascii="Times New Roman" w:eastAsia="仿宋" w:cs="Times New Roman" w:hAnsi="Times New Roman"/>
          <w:b w:val="0"/>
          <w:bCs/>
          <w:kern w:val="0"/>
          <w:sz w:val="32"/>
          <w:szCs w:val="32"/>
        </w:rPr>
        <w:t>17.卫生健康支出（类）其他卫生健康支出（款）其他卫生健康支出（项）:支出决算为</w:t>
      </w:r>
      <w:r>
        <w:rPr>
          <w:rFonts w:ascii="Times New Roman" w:eastAsia="仿宋" w:cs="Times New Roman" w:hAnsi="Times New Roman"/>
          <w:b w:val="0"/>
          <w:bCs/>
          <w:kern w:val="0"/>
          <w:sz w:val="32"/>
          <w:szCs w:val="32"/>
          <w:lang w:val="en-US" w:eastAsia="zh-CN"/>
        </w:rPr>
        <w:t>0.36</w:t>
      </w:r>
      <w:r>
        <w:rPr>
          <w:rFonts w:ascii="Times New Roman" w:eastAsia="仿宋" w:cs="Times New Roman" w:hAnsi="Times New Roman"/>
          <w:b w:val="0"/>
          <w:bCs/>
          <w:kern w:val="0"/>
          <w:sz w:val="32"/>
          <w:szCs w:val="32"/>
        </w:rPr>
        <w:t>万元，完成预算100%，决算数等于预算数。</w:t>
      </w:r>
    </w:p>
    <w:p>
      <w:pPr>
        <w:spacing w:line="600" w:lineRule="exact"/>
        <w:ind w:firstLineChars="200" w:firstLine="640"/>
        <w:rPr>
          <w:rFonts w:ascii="Times New Roman" w:eastAsia="仿宋" w:cs="Times New Roman" w:hAnsi="Times New Roman"/>
          <w:b w:val="0"/>
          <w:bCs/>
          <w:sz w:val="32"/>
          <w:szCs w:val="32"/>
        </w:rPr>
      </w:pPr>
      <w:r>
        <w:rPr>
          <w:rFonts w:ascii="Times New Roman" w:eastAsia="仿宋" w:cs="Times New Roman" w:hAnsi="Times New Roman"/>
          <w:b w:val="0"/>
          <w:bCs/>
          <w:kern w:val="0"/>
          <w:sz w:val="32"/>
          <w:szCs w:val="32"/>
        </w:rPr>
        <w:t>18.</w:t>
      </w:r>
      <w:r>
        <w:rPr>
          <w:rFonts w:ascii="Times New Roman" w:eastAsia="仿宋" w:cs="Times New Roman" w:hAnsi="Times New Roman"/>
          <w:b w:val="0"/>
          <w:bCs/>
          <w:sz w:val="32"/>
          <w:szCs w:val="32"/>
        </w:rPr>
        <w:t>住房保障支出（类）住房改革支出（款）住房公积金（项）:支出决算为</w:t>
      </w:r>
      <w:r>
        <w:rPr>
          <w:rFonts w:ascii="Times New Roman" w:eastAsia="仿宋" w:cs="Times New Roman" w:hAnsi="Times New Roman"/>
          <w:b w:val="0"/>
          <w:bCs/>
          <w:sz w:val="32"/>
          <w:szCs w:val="32"/>
          <w:lang w:val="en-US" w:eastAsia="zh-CN"/>
        </w:rPr>
        <w:t>127.62</w:t>
      </w:r>
      <w:r>
        <w:rPr>
          <w:rFonts w:ascii="Times New Roman" w:eastAsia="仿宋" w:cs="Times New Roman" w:hAnsi="Times New Roman"/>
          <w:b w:val="0"/>
          <w:bCs/>
          <w:sz w:val="32"/>
          <w:szCs w:val="32"/>
        </w:rPr>
        <w:t>万元，完成预算100%，决算数等于预算数。</w:t>
      </w:r>
    </w:p>
    <w:p>
      <w:pPr>
        <w:spacing w:line="600" w:lineRule="exact"/>
        <w:ind w:firstLine="640"/>
        <w:rPr>
          <w:rFonts w:ascii="Times New Roman" w:eastAsia="仿宋_GB2312" w:cs="Times New Roman" w:hAnsi="Times New Roman"/>
          <w:sz w:val="32"/>
          <w:szCs w:val="32"/>
        </w:rPr>
      </w:pPr>
    </w:p>
    <w:p>
      <w:pPr>
        <w:tabs>
          <w:tab w:val="right" w:pos="8306"/>
        </w:tabs>
        <w:spacing w:line="600" w:lineRule="exact"/>
        <w:ind w:firstLine="640"/>
        <w:outlineLvl w:val="1"/>
        <w:rPr>
          <w:rStyle w:val="2Char"/>
          <w:rFonts w:ascii="Times New Roman" w:cs="Times New Roman" w:hAnsi="Times New Roman"/>
        </w:rPr>
      </w:pPr>
      <w:bookmarkStart w:id="79" w:name="_Toc37076775_WPSOffice_Level2"/>
      <w:bookmarkStart w:id="80" w:name="_Toc15377214"/>
      <w:bookmarkStart w:id="81" w:name="_Toc15396608"/>
      <w:r>
        <w:rPr>
          <w:rFonts w:ascii="Times New Roman" w:eastAsia="黑体" w:cs="Times New Roman" w:hAnsi="Times New Roman"/>
          <w:color w:val="auto"/>
          <w:sz w:val="32"/>
          <w:szCs w:val="32"/>
        </w:rPr>
        <w:t>六</w:t>
      </w:r>
      <w:r>
        <w:rPr>
          <w:rFonts w:ascii="Times New Roman" w:eastAsia="黑体" w:cs="Times New Roman" w:hAnsi="Times New Roman"/>
          <w:b/>
          <w:color w:val="auto"/>
          <w:sz w:val="32"/>
          <w:szCs w:val="32"/>
        </w:rPr>
        <w:t>、一</w:t>
      </w:r>
      <w:r>
        <w:rPr>
          <w:rStyle w:val="2Char"/>
          <w:rFonts w:ascii="Times New Roman" w:eastAsia="黑体" w:cs="Times New Roman" w:hAnsi="Times New Roman"/>
          <w:b w:val="0"/>
          <w:color w:val="auto"/>
        </w:rPr>
        <w:t>般公共预算财政拨款基本支出决算情况说明</w:t>
      </w:r>
      <w:bookmarkEnd w:id="79"/>
      <w:bookmarkEnd w:id="80"/>
      <w:bookmarkEnd w:id="81"/>
      <w:r>
        <w:rPr>
          <w:rStyle w:val="2Char"/>
          <w:rFonts w:ascii="Times New Roman" w:eastAsia="黑体" w:cs="Times New Roman" w:hAnsi="Times New Roman"/>
          <w:b w:val="0"/>
        </w:rPr>
        <w:tab/>
      </w:r>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2025年度一般公共预算财政拨款基本支出</w:t>
      </w:r>
      <w:r>
        <w:rPr>
          <w:rFonts w:ascii="Times New Roman" w:eastAsia="仿宋_GB2312" w:cs="Times New Roman" w:hAnsi="Times New Roman"/>
          <w:sz w:val="32"/>
          <w:szCs w:val="32"/>
        </w:rPr>
        <w:t>1983.35</w:t>
      </w:r>
      <w:r>
        <w:rPr>
          <w:rFonts w:ascii="Times New Roman" w:eastAsia="仿宋_GB2312" w:cs="Times New Roman" w:hAnsi="Times New Roman"/>
          <w:color w:val="auto"/>
          <w:kern w:val="2"/>
          <w:sz w:val="32"/>
          <w:szCs w:val="32"/>
          <w:lang w:val="en-US" w:eastAsia="zh-CN" w:bidi="ar-SA"/>
          <w:highlight w:val="auto"/>
        </w:rPr>
        <w:t>万元，其中：</w:t>
      </w:r>
    </w:p>
    <w:p>
      <w:pPr>
        <w:spacing w:line="600" w:lineRule="exact"/>
        <w:ind w:firstLine="640"/>
        <w:rPr>
          <w:rFonts w:ascii="Times New Roman" w:eastAsia="仿宋"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人员经费</w:t>
      </w:r>
      <w:r>
        <w:rPr>
          <w:rFonts w:ascii="Times New Roman" w:eastAsia="仿宋_GB2312" w:cs="Times New Roman" w:hAnsi="Times New Roman"/>
          <w:sz w:val="32"/>
          <w:szCs w:val="32"/>
        </w:rPr>
        <w:t>1771.11</w:t>
      </w:r>
      <w:r>
        <w:rPr>
          <w:rFonts w:ascii="Times New Roman" w:eastAsia="仿宋_GB2312" w:cs="Times New Roman" w:hAnsi="Times New Roman"/>
          <w:color w:val="auto"/>
          <w:kern w:val="2"/>
          <w:sz w:val="32"/>
          <w:szCs w:val="32"/>
          <w:lang w:val="en-US" w:eastAsia="zh-CN" w:bidi="ar-SA"/>
          <w:highlight w:val="auto"/>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公用经费</w:t>
      </w:r>
      <w:r>
        <w:rPr>
          <w:rFonts w:ascii="Times New Roman" w:eastAsia="仿宋_GB2312" w:cs="Times New Roman" w:hAnsi="Times New Roman"/>
          <w:sz w:val="32"/>
          <w:szCs w:val="32"/>
        </w:rPr>
        <w:t>212.24</w:t>
      </w:r>
      <w:r>
        <w:rPr>
          <w:rFonts w:ascii="Times New Roman" w:eastAsia="仿宋_GB2312" w:cs="Times New Roman" w:hAnsi="Times New Roman"/>
          <w:color w:val="auto"/>
          <w:kern w:val="2"/>
          <w:sz w:val="32"/>
          <w:szCs w:val="32"/>
          <w:lang w:val="en-US" w:eastAsia="zh-CN" w:bidi="ar-SA"/>
          <w:highlight w:val="auto"/>
        </w:rPr>
        <w:t>万元，主要包括：办公费、水费、电费、邮电费、物业管理费、差旅费、维修（护）费、租赁费、会议费、培训费、公务接待费、劳务费、委托业务费、工会经费、福利费、公务用车运行维护费、其他交通费、其他商品和服务支出等。</w:t>
      </w:r>
    </w:p>
    <w:p>
      <w:pPr>
        <w:spacing w:line="600" w:lineRule="exact"/>
        <w:ind w:firstLine="640"/>
        <w:outlineLvl w:val="1"/>
        <w:rPr>
          <w:rFonts w:ascii="Times New Roman" w:eastAsia="黑体" w:cs="Times New Roman" w:hAnsi="Times New Roman"/>
          <w:sz w:val="32"/>
          <w:szCs w:val="32"/>
        </w:rPr>
      </w:pPr>
      <w:bookmarkStart w:id="82" w:name="_Toc15377215"/>
      <w:bookmarkStart w:id="83" w:name="_Toc15396609"/>
    </w:p>
    <w:p>
      <w:pPr>
        <w:spacing w:line="600" w:lineRule="exact"/>
        <w:ind w:firstLine="640"/>
        <w:outlineLvl w:val="1"/>
        <w:rPr>
          <w:rStyle w:val="2Char"/>
          <w:rFonts w:ascii="Times New Roman" w:eastAsia="黑体" w:cs="Times New Roman" w:hAnsi="Times New Roman"/>
          <w:b w:val="0"/>
        </w:rPr>
      </w:pPr>
      <w:bookmarkStart w:id="84" w:name="_Toc1183779435_WPSOffice_Level2"/>
      <w:r>
        <w:rPr>
          <w:rFonts w:ascii="Times New Roman" w:eastAsia="黑体" w:cs="Times New Roman" w:hAnsi="Times New Roman"/>
          <w:sz w:val="32"/>
          <w:szCs w:val="32"/>
        </w:rPr>
        <w:t>七、</w:t>
      </w:r>
      <w:r>
        <w:rPr>
          <w:rStyle w:val="2Char"/>
          <w:rFonts w:ascii="Times New Roman" w:eastAsia="黑体" w:cs="Times New Roman" w:hAnsi="Times New Roman"/>
          <w:b w:val="0"/>
        </w:rPr>
        <w:t>财政拨款</w:t>
      </w:r>
      <w:r>
        <w:rPr>
          <w:rStyle w:val="2Char"/>
          <w:rFonts w:ascii="Times New Roman" w:eastAsia="黑体" w:cs="Times New Roman" w:hAnsi="Times New Roman"/>
        </w:rPr>
        <w:t>“</w:t>
      </w:r>
      <w:r>
        <w:rPr>
          <w:rStyle w:val="2Char"/>
          <w:rFonts w:ascii="Times New Roman" w:eastAsia="黑体" w:cs="Times New Roman" w:hAnsi="Times New Roman"/>
          <w:b w:val="0"/>
        </w:rPr>
        <w:t>三公”经费支出决算情况说明</w:t>
      </w:r>
      <w:bookmarkEnd w:id="82"/>
      <w:bookmarkEnd w:id="83"/>
      <w:bookmarkEnd w:id="84"/>
    </w:p>
    <w:p>
      <w:pPr>
        <w:spacing w:line="600" w:lineRule="exact"/>
        <w:ind w:firstLineChars="200" w:firstLine="640"/>
        <w:outlineLvl w:val="2"/>
        <w:rPr>
          <w:rFonts w:ascii="Times New Roman" w:eastAsia="楷体_GB2312" w:cs="Times New Roman" w:hAnsi="Times New Roman"/>
          <w:b/>
          <w:sz w:val="32"/>
          <w:szCs w:val="32"/>
        </w:rPr>
      </w:pPr>
      <w:bookmarkStart w:id="85" w:name="_Toc15377216"/>
      <w:r>
        <w:rPr>
          <w:rFonts w:ascii="Times New Roman" w:eastAsia="楷体_GB2312" w:cs="Times New Roman" w:hAnsi="Times New Roman"/>
          <w:b/>
          <w:sz w:val="32"/>
          <w:szCs w:val="32"/>
        </w:rPr>
        <w:t>（一）财政拨款“三公”经费支出决算总体情况说明</w:t>
      </w:r>
      <w:bookmarkEnd w:id="85"/>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2025年度财政拨款“三公”经费支出决算为</w:t>
      </w:r>
      <w:r>
        <w:rPr>
          <w:rFonts w:ascii="Times New Roman" w:eastAsia="仿宋_GB2312" w:cs="Times New Roman" w:hAnsi="Times New Roman"/>
          <w:sz w:val="32"/>
          <w:szCs w:val="32"/>
        </w:rPr>
        <w:t>11.57</w:t>
      </w:r>
      <w:r>
        <w:rPr>
          <w:rFonts w:ascii="Times New Roman" w:eastAsia="仿宋_GB2312" w:cs="Times New Roman" w:hAnsi="Times New Roman"/>
          <w:color w:val="auto"/>
          <w:kern w:val="2"/>
          <w:sz w:val="32"/>
          <w:szCs w:val="32"/>
          <w:lang w:val="en-US" w:eastAsia="zh-CN" w:bidi="ar-SA"/>
          <w:highlight w:val="auto"/>
        </w:rPr>
        <w:t>万元，完成预算</w:t>
      </w:r>
      <w:r>
        <w:rPr>
          <w:rFonts w:ascii="Times New Roman" w:eastAsia="仿宋_GB2312" w:cs="Times New Roman" w:hAnsi="Times New Roman"/>
          <w:sz w:val="32"/>
          <w:szCs w:val="32"/>
        </w:rPr>
        <w:t>100</w:t>
      </w:r>
      <w:r>
        <w:rPr>
          <w:rFonts w:ascii="Times New Roman" w:eastAsia="仿宋_GB2312" w:cs="Times New Roman" w:hAnsi="Times New Roman"/>
          <w:color w:val="auto"/>
          <w:kern w:val="2"/>
          <w:sz w:val="32"/>
          <w:szCs w:val="32"/>
          <w:lang w:val="en-US" w:eastAsia="zh-CN" w:bidi="ar-SA"/>
          <w:highlight w:val="auto"/>
        </w:rPr>
        <w:t>%，较上年度增加0.82万元，增长7.6%。决算数与预算数</w:t>
      </w:r>
      <w:r>
        <w:rPr>
          <w:rFonts w:eastAsia="仿宋_GB2312" w:cs="Times New Roman" w:hint="eastAsia"/>
          <w:color w:val="auto"/>
          <w:kern w:val="2"/>
          <w:sz w:val="32"/>
          <w:szCs w:val="32"/>
          <w:lang w:val="en-US" w:eastAsia="zh-CN" w:bidi="ar-SA"/>
          <w:highlight w:val="auto"/>
        </w:rPr>
        <w:t>持平</w:t>
      </w:r>
      <w:r>
        <w:rPr>
          <w:rFonts w:ascii="Times New Roman" w:eastAsia="仿宋_GB2312" w:cs="Times New Roman" w:hAnsi="Times New Roman"/>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Times New Roman" w:hAnsi="Times New Roman"/>
          <w:b/>
          <w:sz w:val="32"/>
          <w:szCs w:val="32"/>
        </w:rPr>
      </w:pPr>
      <w:bookmarkStart w:id="86" w:name="_Toc15377217"/>
      <w:r>
        <w:rPr>
          <w:rFonts w:ascii="Times New Roman" w:eastAsia="楷体_GB2312" w:cs="Times New Roman" w:hAnsi="Times New Roman"/>
          <w:b/>
          <w:sz w:val="32"/>
          <w:szCs w:val="32"/>
        </w:rPr>
        <w:t>（二）财政拨款“三公”经费支出决算具体情况说明</w:t>
      </w:r>
      <w:bookmarkEnd w:id="86"/>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2025年度财政拨款“三公”经费支出决算中，因公出国（境）费支出决算</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万元，占0%；公务用车购置及运行维护费支出决算</w:t>
      </w:r>
      <w:r>
        <w:rPr>
          <w:rFonts w:ascii="Times New Roman" w:eastAsia="仿宋_GB2312" w:cs="Times New Roman" w:hAnsi="Times New Roman"/>
          <w:sz w:val="32"/>
          <w:szCs w:val="32"/>
        </w:rPr>
        <w:t>9.7</w:t>
      </w:r>
      <w:r>
        <w:rPr>
          <w:rFonts w:ascii="Times New Roman" w:eastAsia="仿宋_GB2312" w:cs="Times New Roman" w:hAnsi="Times New Roman"/>
          <w:color w:val="auto"/>
          <w:kern w:val="2"/>
          <w:sz w:val="32"/>
          <w:szCs w:val="32"/>
          <w:lang w:val="en-US" w:eastAsia="zh-CN" w:bidi="ar-SA"/>
          <w:highlight w:val="auto"/>
        </w:rPr>
        <w:t>万元，占83.9%；公务接待费支出决算</w:t>
      </w:r>
      <w:r>
        <w:rPr>
          <w:rFonts w:ascii="Times New Roman" w:eastAsia="仿宋_GB2312" w:cs="Times New Roman" w:hAnsi="Times New Roman"/>
          <w:sz w:val="32"/>
          <w:szCs w:val="32"/>
        </w:rPr>
        <w:t>1.86</w:t>
      </w:r>
      <w:r>
        <w:rPr>
          <w:rFonts w:ascii="Times New Roman" w:eastAsia="仿宋_GB2312" w:cs="Times New Roman" w:hAnsi="Times New Roman"/>
          <w:color w:val="auto"/>
          <w:kern w:val="2"/>
          <w:sz w:val="32"/>
          <w:szCs w:val="32"/>
          <w:lang w:val="en-US" w:eastAsia="zh-CN" w:bidi="ar-SA"/>
          <w:highlight w:val="auto"/>
        </w:rPr>
        <w:t>万元，占16.1%。具体情况如下：</w:t>
      </w:r>
    </w:p>
    <w:p>
      <w:pPr>
        <w:pStyle w:val="18"/>
        <w:rPr>
          <w:rFonts w:ascii="Times New Roman" w:eastAsia="仿宋_GB2312" w:cs="Times New Roman" w:hAnsi="Times New Roman"/>
          <w:color w:val="auto"/>
          <w:kern w:val="2"/>
          <w:sz w:val="32"/>
          <w:szCs w:val="32"/>
          <w:lang w:val="en-US" w:eastAsia="zh-CN" w:bidi="ar-SA"/>
          <w:highlight w:val="auto"/>
        </w:rPr>
      </w:pPr>
      <w:r>
        <w:rPr>
          <w:rFonts w:ascii="Times New Roman" w:eastAsia="仿宋" w:cs="Times New Roman" w:hAnsi="Times New Roman"/>
          <w:sz w:val="32"/>
          <w:lang w:eastAsia="zh-CN"/>
        </w:rPr>
        <w:object>
          <v:shape id="_x0000_i7" type="#_x0000_t75" filled="f" stroked="f" style="width:294.55pt;height:223.25pt;" o:ole="">
            <v:stroke color="#000000"/>
            <v:imagedata r:id="rId22" o:title="image7"/>
            <o:lock aspectratio="t"/>
            <w10:anchorLock/>
          </v:shape>
          <o:OLEObject Type="Embed" ProgID="Package" ShapeID="_x0000_i7" DrawAspect="Content" ObjectID="_1393063357" r:id="rId23"/>
        </w:object>
      </w:r>
    </w:p>
    <w:p>
      <w:pPr>
        <w:spacing w:line="600" w:lineRule="exact"/>
        <w:jc w:val="center"/>
        <w:rPr>
          <w:rFonts w:ascii="Times New Roman" w:eastAsia="仿宋_GB2312" w:cs="Times New Roman" w:hAnsi="Times New Roman"/>
          <w:sz w:val="32"/>
          <w:szCs w:val="32"/>
        </w:rPr>
      </w:pPr>
      <w:r>
        <w:rPr>
          <w:rFonts w:ascii="Times New Roman" w:eastAsia="仿宋_GB2312" w:cs="Times New Roman" w:hAnsi="Times New Roman"/>
          <w:sz w:val="32"/>
          <w:szCs w:val="32"/>
        </w:rPr>
        <w:t>（图7：财政拨款“三公”经费支出结构）（饼状图）</w:t>
      </w:r>
    </w:p>
    <w:p>
      <w:pPr>
        <w:spacing w:line="600" w:lineRule="exact"/>
        <w:ind w:firstLine="640"/>
        <w:rPr>
          <w:rFonts w:ascii="Times New Roman" w:eastAsia="仿宋_GB2312" w:cs="Times New Roman" w:hAnsi="Times New Roman"/>
          <w:sz w:val="32"/>
          <w:szCs w:val="32"/>
          <w:lang w:eastAsia="zh-CN"/>
        </w:rPr>
      </w:pPr>
      <w:r>
        <w:rPr>
          <w:rFonts w:ascii="Times New Roman" w:eastAsia="仿宋_GB2312" w:cs="Times New Roman" w:hAnsi="Times New Roman"/>
          <w:b/>
          <w:bCs/>
          <w:sz w:val="32"/>
          <w:szCs w:val="32"/>
        </w:rPr>
        <w:t>1.因公出国（境）经费支出</w:t>
      </w:r>
      <w:r>
        <w:rPr>
          <w:rFonts w:ascii="Times New Roman" w:eastAsia="仿宋_GB2312" w:cs="Times New Roman" w:hAnsi="Times New Roman"/>
          <w:b/>
          <w:bCs/>
          <w:sz w:val="32"/>
          <w:szCs w:val="32"/>
          <w:lang w:val="en-US" w:eastAsia="zh-CN"/>
        </w:rPr>
        <w:t>0</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全年</w:t>
      </w:r>
      <w:r>
        <w:rPr>
          <w:rFonts w:ascii="Times New Roman" w:eastAsia="仿宋_GB2312" w:cs="Times New Roman" w:hAnsi="Times New Roman"/>
          <w:sz w:val="32"/>
          <w:szCs w:val="32"/>
          <w:lang w:eastAsia="zh-CN"/>
        </w:rPr>
        <w:t>未</w:t>
      </w:r>
      <w:r>
        <w:rPr>
          <w:rFonts w:ascii="Times New Roman" w:eastAsia="仿宋_GB2312" w:cs="Times New Roman" w:hAnsi="Times New Roman"/>
          <w:sz w:val="32"/>
          <w:szCs w:val="32"/>
        </w:rPr>
        <w:t>安排因公出国（境）</w:t>
      </w:r>
      <w:r>
        <w:rPr>
          <w:rFonts w:ascii="Times New Roman" w:eastAsia="仿宋_GB2312" w:cs="Times New Roman" w:hAnsi="Times New Roman"/>
          <w:sz w:val="32"/>
          <w:szCs w:val="32"/>
          <w:lang w:eastAsia="zh-CN"/>
        </w:rPr>
        <w:t>。</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b/>
          <w:bCs/>
          <w:sz w:val="32"/>
          <w:szCs w:val="32"/>
        </w:rPr>
        <w:t>2.公务用车购置及运行维护费支出</w:t>
      </w:r>
      <w:r>
        <w:rPr>
          <w:rFonts w:ascii="Times New Roman" w:eastAsia="仿宋_GB2312" w:cs="Times New Roman" w:hAnsi="Times New Roman"/>
          <w:b/>
          <w:bCs/>
          <w:sz w:val="32"/>
          <w:szCs w:val="32"/>
          <w:lang w:val="en-US" w:eastAsia="zh-CN"/>
        </w:rPr>
        <w:t>9.7</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100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公务用车购置及运行维护费支出决算比上年度增加</w:t>
      </w:r>
      <w:r>
        <w:rPr>
          <w:rFonts w:ascii="Times New Roman" w:eastAsia="仿宋_GB2312" w:cs="Times New Roman" w:hAnsi="Times New Roman"/>
          <w:sz w:val="32"/>
          <w:szCs w:val="32"/>
          <w:lang w:val="en-US" w:eastAsia="zh-CN"/>
        </w:rPr>
        <w:t>0.85</w:t>
      </w:r>
      <w:r>
        <w:rPr>
          <w:rFonts w:ascii="Times New Roman" w:eastAsia="仿宋_GB2312" w:cs="Times New Roman" w:hAnsi="Times New Roman"/>
          <w:sz w:val="32"/>
          <w:szCs w:val="32"/>
        </w:rPr>
        <w:t>万元，增长</w:t>
      </w:r>
      <w:r>
        <w:rPr>
          <w:rFonts w:ascii="Times New Roman" w:eastAsia="仿宋_GB2312" w:cs="Times New Roman" w:hAnsi="Times New Roman"/>
          <w:sz w:val="32"/>
          <w:szCs w:val="32"/>
          <w:lang w:val="en-US" w:eastAsia="zh-CN"/>
        </w:rPr>
        <w:t>9.6</w:t>
      </w:r>
      <w:r>
        <w:rPr>
          <w:rFonts w:ascii="Times New Roman" w:eastAsia="仿宋_GB2312" w:cs="Times New Roman" w:hAnsi="Times New Roman"/>
          <w:sz w:val="32"/>
          <w:szCs w:val="32"/>
        </w:rPr>
        <w:t>%。主要原因是车辆</w:t>
      </w:r>
      <w:r>
        <w:rPr>
          <w:rFonts w:ascii="Times New Roman" w:eastAsia="仿宋_GB2312" w:cs="Times New Roman" w:hAnsi="Times New Roman"/>
          <w:sz w:val="32"/>
          <w:szCs w:val="32"/>
          <w:lang w:eastAsia="zh-CN"/>
        </w:rPr>
        <w:t>定期和不定期</w:t>
      </w:r>
      <w:r>
        <w:rPr>
          <w:rFonts w:ascii="Times New Roman" w:eastAsia="仿宋_GB2312" w:cs="Times New Roman" w:hAnsi="Times New Roman"/>
          <w:sz w:val="32"/>
          <w:szCs w:val="32"/>
        </w:rPr>
        <w:t>维修保养费用</w:t>
      </w:r>
      <w:r>
        <w:rPr>
          <w:rFonts w:ascii="Times New Roman" w:eastAsia="仿宋_GB2312" w:cs="Times New Roman" w:hAnsi="Times New Roman"/>
          <w:sz w:val="32"/>
          <w:szCs w:val="32"/>
          <w:lang w:val="en-US" w:eastAsia="zh-CN"/>
        </w:rPr>
        <w:t>有所增加</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其中：公务用车购置支出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万元。全年未更新购置公务用车。截至2025年12月31日，单位共有公务用车</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辆，其中：轿</w:t>
      </w:r>
      <w:r>
        <w:rPr>
          <w:rFonts w:ascii="Times New Roman" w:eastAsia="仿宋_GB2312" w:cs="Times New Roman" w:hAnsi="Times New Roman"/>
          <w:sz w:val="32"/>
          <w:szCs w:val="32"/>
          <w:highlight w:val="auto"/>
        </w:rPr>
        <w:t>车</w:t>
      </w:r>
      <w:r>
        <w:rPr>
          <w:rFonts w:ascii="Times New Roman" w:eastAsia="仿宋_GB2312" w:cs="Times New Roman" w:hAnsi="Times New Roman"/>
          <w:sz w:val="32"/>
          <w:szCs w:val="32"/>
          <w:lang w:val="en-US" w:eastAsia="zh-CN"/>
          <w:highlight w:val="auto"/>
        </w:rPr>
        <w:t>2</w:t>
      </w:r>
      <w:r>
        <w:rPr>
          <w:rFonts w:ascii="Times New Roman" w:eastAsia="仿宋_GB2312" w:cs="Times New Roman" w:hAnsi="Times New Roman"/>
          <w:sz w:val="32"/>
          <w:szCs w:val="32"/>
          <w:highlight w:val="auto"/>
        </w:rPr>
        <w:t>辆</w:t>
      </w:r>
      <w:r>
        <w:rPr>
          <w:rFonts w:ascii="Times New Roman" w:eastAsia="仿宋_GB2312" w:cs="Times New Roman" w:hAnsi="Times New Roman"/>
          <w:sz w:val="32"/>
          <w:szCs w:val="32"/>
        </w:rPr>
        <w:t>、越野车3辆。</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公务用车运行维护费支出</w:t>
      </w:r>
      <w:r>
        <w:rPr>
          <w:rFonts w:ascii="Times New Roman" w:eastAsia="仿宋_GB2312" w:cs="Times New Roman" w:hAnsi="Times New Roman"/>
          <w:sz w:val="32"/>
          <w:szCs w:val="32"/>
          <w:lang w:val="en-US" w:eastAsia="zh-CN"/>
        </w:rPr>
        <w:t>9.7</w:t>
      </w:r>
      <w:r>
        <w:rPr>
          <w:rFonts w:ascii="Times New Roman" w:eastAsia="仿宋_GB2312" w:cs="Times New Roman" w:hAnsi="Times New Roman"/>
          <w:sz w:val="32"/>
          <w:szCs w:val="32"/>
        </w:rPr>
        <w:t>万元。主要用于公证业务现场取证、森林防灭火巡查、涉密文件运送、法治宣传、执法监督等所需的公务用车燃料费、维修费、过路过桥费、保险费等支出。</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b/>
          <w:bCs/>
          <w:sz w:val="32"/>
          <w:szCs w:val="32"/>
        </w:rPr>
        <w:t>3.公务接待费支出</w:t>
      </w:r>
      <w:r>
        <w:rPr>
          <w:rFonts w:ascii="Times New Roman" w:eastAsia="仿宋_GB2312" w:cs="Times New Roman" w:hAnsi="Times New Roman"/>
          <w:b/>
          <w:bCs/>
          <w:sz w:val="32"/>
          <w:szCs w:val="32"/>
          <w:lang w:val="en-US" w:eastAsia="zh-CN"/>
        </w:rPr>
        <w:t>1.86</w:t>
      </w:r>
      <w:r>
        <w:rPr>
          <w:rFonts w:ascii="Times New Roman" w:eastAsia="仿宋_GB2312" w:cs="Times New Roman" w:hAnsi="Times New Roman"/>
          <w:b/>
          <w:bCs/>
          <w:sz w:val="32"/>
          <w:szCs w:val="32"/>
        </w:rPr>
        <w:t>万元，完成预算</w:t>
      </w:r>
      <w:r>
        <w:rPr>
          <w:rFonts w:ascii="Times New Roman" w:eastAsia="仿宋_GB2312" w:cs="Times New Roman" w:hAnsi="Times New Roman"/>
          <w:b/>
          <w:bCs/>
          <w:sz w:val="32"/>
          <w:szCs w:val="32"/>
          <w:lang w:val="en-US" w:eastAsia="zh-CN"/>
        </w:rPr>
        <w:t>100</w:t>
      </w:r>
      <w:r>
        <w:rPr>
          <w:rFonts w:ascii="Times New Roman" w:eastAsia="仿宋_GB2312" w:cs="Times New Roman" w:hAnsi="Times New Roman"/>
          <w:b/>
          <w:bCs/>
          <w:sz w:val="32"/>
          <w:szCs w:val="32"/>
        </w:rPr>
        <w:t>%。</w:t>
      </w:r>
      <w:r>
        <w:rPr>
          <w:rFonts w:ascii="Times New Roman" w:eastAsia="仿宋_GB2312" w:cs="Times New Roman" w:hAnsi="Times New Roman"/>
          <w:sz w:val="32"/>
          <w:szCs w:val="32"/>
        </w:rPr>
        <w:t>公务接待费支出决算比上年度减少</w:t>
      </w:r>
      <w:r>
        <w:rPr>
          <w:rFonts w:ascii="Times New Roman" w:eastAsia="仿宋_GB2312" w:cs="Times New Roman" w:hAnsi="Times New Roman"/>
          <w:sz w:val="32"/>
          <w:szCs w:val="32"/>
          <w:lang w:val="en-US" w:eastAsia="zh-CN"/>
        </w:rPr>
        <w:t>0.04</w:t>
      </w:r>
      <w:r>
        <w:rPr>
          <w:rFonts w:ascii="Times New Roman" w:eastAsia="仿宋_GB2312" w:cs="Times New Roman" w:hAnsi="Times New Roman"/>
          <w:sz w:val="32"/>
          <w:szCs w:val="32"/>
        </w:rPr>
        <w:t>万元，下降</w:t>
      </w:r>
      <w:r>
        <w:rPr>
          <w:rFonts w:ascii="Times New Roman" w:eastAsia="仿宋_GB2312" w:cs="Times New Roman" w:hAnsi="Times New Roman"/>
          <w:sz w:val="32"/>
          <w:szCs w:val="32"/>
          <w:lang w:val="en-US" w:eastAsia="zh-CN"/>
        </w:rPr>
        <w:t>2.1</w:t>
      </w:r>
      <w:r>
        <w:rPr>
          <w:rFonts w:ascii="Times New Roman" w:eastAsia="仿宋_GB2312" w:cs="Times New Roman" w:hAnsi="Times New Roman"/>
          <w:sz w:val="32"/>
          <w:szCs w:val="32"/>
        </w:rPr>
        <w:t>%。主要原因是</w:t>
      </w:r>
      <w:r>
        <w:rPr>
          <w:rFonts w:ascii="Times New Roman" w:eastAsia="仿宋_GB2312" w:cs="Times New Roman" w:hAnsi="Times New Roman"/>
          <w:sz w:val="32"/>
          <w:szCs w:val="32"/>
          <w:lang w:eastAsia="zh-CN"/>
        </w:rPr>
        <w:t>公务接待标准调整，总体费用下降</w:t>
      </w:r>
      <w:r>
        <w:rPr>
          <w:rFonts w:ascii="Times New Roman" w:eastAsia="仿宋_GB2312" w:cs="Times New Roman" w:hAnsi="Times New Roman"/>
          <w:sz w:val="32"/>
          <w:szCs w:val="32"/>
        </w:rPr>
        <w:t>。其中：</w:t>
      </w:r>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国内公务接待支出</w:t>
      </w:r>
      <w:r>
        <w:rPr>
          <w:rFonts w:ascii="Times New Roman" w:eastAsia="仿宋_GB2312" w:cs="Times New Roman" w:hAnsi="Times New Roman"/>
          <w:sz w:val="32"/>
          <w:szCs w:val="32"/>
          <w:lang w:val="en-US" w:eastAsia="zh-CN"/>
        </w:rPr>
        <w:t>1.86</w:t>
      </w:r>
      <w:r>
        <w:rPr>
          <w:rFonts w:ascii="Times New Roman" w:eastAsia="仿宋_GB2312" w:cs="Times New Roman" w:hAnsi="Times New Roman"/>
          <w:sz w:val="32"/>
          <w:szCs w:val="32"/>
        </w:rPr>
        <w:t>万元，主要用于法律职业资格考试</w:t>
      </w:r>
      <w:r>
        <w:rPr>
          <w:rFonts w:ascii="Times New Roman" w:eastAsia="仿宋_GB2312" w:cs="Times New Roman" w:hAnsi="Times New Roman"/>
          <w:sz w:val="32"/>
          <w:szCs w:val="32"/>
          <w:lang w:val="en-US" w:eastAsia="zh-CN"/>
        </w:rPr>
        <w:t>督考</w:t>
      </w:r>
      <w:r>
        <w:rPr>
          <w:rFonts w:ascii="Times New Roman" w:eastAsia="仿宋_GB2312" w:cs="Times New Roman" w:hAnsi="Times New Roman"/>
          <w:sz w:val="32"/>
          <w:szCs w:val="32"/>
        </w:rPr>
        <w:t>、专项执法监督、公共法律服务调研、</w:t>
      </w:r>
      <w:r>
        <w:rPr>
          <w:rFonts w:ascii="Times New Roman" w:eastAsia="仿宋_GB2312" w:cs="Times New Roman" w:hAnsi="Times New Roman"/>
          <w:sz w:val="32"/>
          <w:szCs w:val="32"/>
          <w:lang w:val="en-US" w:eastAsia="zh-CN"/>
        </w:rPr>
        <w:t>立法调研</w:t>
      </w:r>
      <w:r>
        <w:rPr>
          <w:rFonts w:ascii="Times New Roman" w:eastAsia="仿宋_GB2312" w:cs="Times New Roman" w:hAnsi="Times New Roman"/>
          <w:sz w:val="32"/>
          <w:szCs w:val="32"/>
        </w:rPr>
        <w:t>等。</w:t>
      </w:r>
      <w:r>
        <w:rPr>
          <w:rFonts w:ascii="Times New Roman" w:eastAsia="仿宋_GB2312" w:cs="Times New Roman" w:hAnsi="Times New Roman"/>
          <w:color w:val="auto"/>
          <w:kern w:val="2"/>
          <w:sz w:val="32"/>
          <w:szCs w:val="32"/>
          <w:lang w:val="en-US" w:eastAsia="zh-CN" w:bidi="ar-SA"/>
          <w:highlight w:val="auto"/>
        </w:rPr>
        <w:t>国内公务接待</w:t>
      </w:r>
      <w:r>
        <w:rPr>
          <w:rFonts w:ascii="Times New Roman" w:eastAsia="仿宋_GB2312" w:cs="Times New Roman" w:hAnsi="Times New Roman"/>
          <w:sz w:val="32"/>
          <w:szCs w:val="32"/>
        </w:rPr>
        <w:t>19</w:t>
      </w:r>
      <w:r>
        <w:rPr>
          <w:rFonts w:ascii="Times New Roman" w:eastAsia="仿宋_GB2312" w:cs="Times New Roman" w:hAnsi="Times New Roman"/>
          <w:color w:val="auto"/>
          <w:kern w:val="2"/>
          <w:sz w:val="32"/>
          <w:szCs w:val="32"/>
          <w:lang w:val="en-US" w:eastAsia="zh-CN" w:bidi="ar-SA"/>
          <w:highlight w:val="auto"/>
        </w:rPr>
        <w:t>批次，</w:t>
      </w:r>
      <w:r>
        <w:rPr>
          <w:rFonts w:ascii="Times New Roman" w:eastAsia="仿宋_GB2312" w:cs="Times New Roman" w:hAnsi="Times New Roman"/>
          <w:sz w:val="32"/>
          <w:szCs w:val="32"/>
        </w:rPr>
        <w:t>125</w:t>
      </w:r>
      <w:r>
        <w:rPr>
          <w:rFonts w:ascii="Times New Roman" w:eastAsia="仿宋_GB2312" w:cs="Times New Roman" w:hAnsi="Times New Roman"/>
          <w:color w:val="auto"/>
          <w:kern w:val="2"/>
          <w:sz w:val="32"/>
          <w:szCs w:val="32"/>
          <w:lang w:val="en-US" w:eastAsia="zh-CN" w:bidi="ar-SA"/>
          <w:highlight w:val="auto"/>
        </w:rPr>
        <w:t>人次（不包括陪同人员），共计支出1.86万元，具体内容包括：司法厅到攀调研社区矫正工作公务接待0.09万元；司法厅到攀调查行政复议案件公务接待0.09万元；司法厅到攀开展工作调研公务接待0.12万元；司法厅法治调研处到攀指导授课公务接待0.07万元；丽江市司法局到攀交流学习公务接待0.15万元；四川司法警官职业学院到攀交流学习公务接待0.12万元；四川十大法治人物到攀授课公务接待0.05万元；省“八五”普法总结验收现场调研组到攀调研公务接待0.11万元；凉山州司法局到攀协调社区矫正对象执行地变更事宜公务接待0.16万元；省戒毒管理局到攀考察调研公务接待0.11万元；2025年国家统一法律职业资格考试省厅督导组到攀督导检查公务接待0.11万元等。</w:t>
      </w:r>
    </w:p>
    <w:p>
      <w:pPr>
        <w:spacing w:line="600" w:lineRule="exact"/>
        <w:ind w:firstLine="640"/>
        <w:outlineLvl w:val="1"/>
        <w:rPr>
          <w:rFonts w:ascii="Times New Roman" w:eastAsia="仿宋_GB2312" w:cs="Times New Roman" w:hAnsi="Times New Roman"/>
          <w:sz w:val="32"/>
          <w:szCs w:val="32"/>
        </w:rPr>
      </w:pPr>
      <w:bookmarkStart w:id="87" w:name="_Toc176939612"/>
      <w:bookmarkStart w:id="88" w:name="_Toc15396610"/>
      <w:bookmarkStart w:id="89" w:name="_Toc15377218"/>
      <w:r>
        <w:rPr>
          <w:rFonts w:ascii="Times New Roman" w:eastAsia="仿宋" w:cs="Times New Roman" w:hAnsi="Times New Roman"/>
          <w:b w:val="0"/>
          <w:bCs/>
          <w:sz w:val="32"/>
          <w:szCs w:val="32"/>
        </w:rPr>
        <w:t>外事接待支出0</w:t>
      </w:r>
      <w:r>
        <w:rPr>
          <w:rFonts w:ascii="Times New Roman" w:eastAsia="仿宋_GB2312" w:cs="Times New Roman" w:hAnsi="Times New Roman"/>
          <w:sz w:val="32"/>
          <w:szCs w:val="32"/>
        </w:rPr>
        <w:t>万元，无外事接待业务。</w:t>
      </w:r>
      <w:bookmarkEnd w:id="87"/>
    </w:p>
    <w:p>
      <w:pPr>
        <w:spacing w:line="600" w:lineRule="exact"/>
        <w:ind w:firstLine="640"/>
        <w:rPr>
          <w:rFonts w:ascii="Times New Roman" w:eastAsia="仿宋_GB2312" w:cs="Times New Roman" w:hAnsi="Times New Roman"/>
          <w:sz w:val="32"/>
          <w:szCs w:val="32"/>
        </w:rPr>
      </w:pPr>
    </w:p>
    <w:p>
      <w:pPr>
        <w:spacing w:line="600" w:lineRule="exact"/>
        <w:ind w:firstLine="640"/>
        <w:outlineLvl w:val="1"/>
        <w:rPr>
          <w:rStyle w:val="2Char"/>
          <w:rFonts w:ascii="Times New Roman" w:eastAsia="黑体" w:cs="Times New Roman" w:hAnsi="Times New Roman"/>
        </w:rPr>
      </w:pPr>
      <w:bookmarkStart w:id="90" w:name="_Toc889093064_WPSOffice_Level2"/>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88"/>
      <w:bookmarkEnd w:id="89"/>
      <w:bookmarkEnd w:id="90"/>
    </w:p>
    <w:p>
      <w:pPr>
        <w:spacing w:line="600" w:lineRule="exact"/>
        <w:ind w:firstLine="640"/>
        <w:rPr>
          <w:rFonts w:ascii="Times New Roman" w:eastAsia="仿宋_GB2312" w:cs="Times New Roman" w:hAnsi="Times New Roman"/>
          <w:b/>
          <w:bCs/>
          <w:sz w:val="32"/>
          <w:szCs w:val="32"/>
        </w:rPr>
      </w:pPr>
      <w:r>
        <w:rPr>
          <w:rFonts w:ascii="Times New Roman" w:eastAsia="仿宋_GB2312" w:cs="Times New Roman" w:hAnsi="Times New Roman"/>
          <w:sz w:val="32"/>
          <w:szCs w:val="32"/>
        </w:rPr>
        <w:t>2025年度政府性基金预算财政拨款支出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万元，占本年支出合计的</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p>
    <w:p>
      <w:pPr>
        <w:spacing w:line="600" w:lineRule="exact"/>
        <w:ind w:left="630"/>
        <w:outlineLvl w:val="1"/>
        <w:rPr>
          <w:rStyle w:val="2Char"/>
          <w:rFonts w:ascii="Times New Roman" w:eastAsia="黑体" w:cs="Times New Roman" w:hAnsi="Times New Roman"/>
          <w:b w:val="0"/>
        </w:rPr>
      </w:pPr>
      <w:bookmarkStart w:id="91" w:name="_Toc15377219"/>
      <w:bookmarkStart w:id="92" w:name="_Toc15396611"/>
      <w:bookmarkStart w:id="93" w:name="_Toc1627460423_WPSOffice_Level2"/>
      <w:r>
        <w:rPr>
          <w:rStyle w:val="2Char"/>
          <w:rFonts w:ascii="Times New Roman" w:eastAsia="黑体" w:cs="Times New Roman" w:hAnsi="Times New Roman"/>
          <w:b w:val="0"/>
        </w:rPr>
        <w:t>九、国有资本经营预算支出决算情况说明</w:t>
      </w:r>
      <w:bookmarkEnd w:id="91"/>
      <w:bookmarkEnd w:id="92"/>
      <w:bookmarkEnd w:id="93"/>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2025年度国有资本经营预算财政拨款支出</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万元，占本年支出合计的</w:t>
      </w:r>
      <w:r>
        <w:rPr>
          <w:rFonts w:ascii="Times New Roman" w:eastAsia="仿宋_GB2312" w:cs="Times New Roman" w:hAnsi="Times New Roman"/>
          <w:sz w:val="32"/>
          <w:szCs w:val="32"/>
          <w:lang w:val="en-US" w:eastAsia="zh-CN"/>
        </w:rPr>
        <w:t>0</w:t>
      </w:r>
      <w:r>
        <w:rPr>
          <w:rFonts w:ascii="Times New Roman" w:eastAsia="仿宋_GB2312" w:cs="Times New Roman" w:hAnsi="Times New Roman"/>
          <w:sz w:val="32"/>
          <w:szCs w:val="32"/>
        </w:rPr>
        <w:t>%。</w:t>
      </w:r>
    </w:p>
    <w:p>
      <w:pPr>
        <w:spacing w:line="600" w:lineRule="exact"/>
        <w:ind w:firstLine="640"/>
        <w:rPr>
          <w:rFonts w:ascii="Times New Roman" w:eastAsia="仿宋_GB2312" w:cs="Times New Roman" w:hAnsi="Times New Roman"/>
          <w:sz w:val="32"/>
          <w:szCs w:val="32"/>
        </w:rPr>
      </w:pPr>
    </w:p>
    <w:p>
      <w:pPr>
        <w:spacing w:line="600" w:lineRule="exact"/>
        <w:ind w:left="630"/>
        <w:outlineLvl w:val="1"/>
        <w:rPr>
          <w:rStyle w:val="2Char"/>
          <w:rFonts w:ascii="Times New Roman" w:eastAsia="黑体" w:cs="Times New Roman" w:hAnsi="Times New Roman"/>
          <w:b w:val="0"/>
        </w:rPr>
      </w:pPr>
      <w:bookmarkStart w:id="94" w:name="_Toc15377221"/>
      <w:bookmarkStart w:id="95" w:name="_Toc15396612"/>
      <w:bookmarkStart w:id="96" w:name="_Toc1320981108_WPSOffice_Level2"/>
      <w:r>
        <w:rPr>
          <w:rStyle w:val="2Char"/>
          <w:rFonts w:ascii="Times New Roman" w:eastAsia="黑体" w:cs="Times New Roman" w:hAnsi="Times New Roman"/>
          <w:b w:val="0"/>
        </w:rPr>
        <w:t>十、其他重要事项的情况说明</w:t>
      </w:r>
      <w:bookmarkEnd w:id="94"/>
      <w:bookmarkEnd w:id="95"/>
      <w:bookmarkEnd w:id="96"/>
    </w:p>
    <w:p>
      <w:pPr>
        <w:spacing w:line="600" w:lineRule="exact"/>
        <w:ind w:firstLineChars="200" w:firstLine="640"/>
        <w:outlineLvl w:val="2"/>
        <w:rPr>
          <w:rFonts w:ascii="Times New Roman" w:eastAsia="楷体_GB2312" w:cs="Times New Roman" w:hAnsi="Times New Roman"/>
          <w:b/>
          <w:sz w:val="32"/>
          <w:szCs w:val="32"/>
        </w:rPr>
      </w:pPr>
      <w:bookmarkStart w:id="97" w:name="_Toc15377222"/>
      <w:r>
        <w:rPr>
          <w:rFonts w:ascii="Times New Roman" w:eastAsia="楷体_GB2312" w:cs="Times New Roman" w:hAnsi="Times New Roman"/>
          <w:b/>
          <w:sz w:val="32"/>
          <w:szCs w:val="32"/>
        </w:rPr>
        <w:t>（一）机关运行经费支出情况</w:t>
      </w:r>
      <w:bookmarkEnd w:id="97"/>
    </w:p>
    <w:p>
      <w:pPr>
        <w:spacing w:line="600" w:lineRule="exact"/>
        <w:ind w:firstLine="640"/>
        <w:rPr>
          <w:rFonts w:ascii="Times New Roman" w:eastAsia="仿宋_GB2312" w:cs="Times New Roman" w:hAnsi="Times New Roman"/>
          <w:sz w:val="32"/>
          <w:szCs w:val="32"/>
        </w:rPr>
      </w:pPr>
      <w:r>
        <w:rPr>
          <w:rFonts w:ascii="Times New Roman" w:eastAsia="仿宋_GB2312" w:cs="Times New Roman" w:hAnsi="Times New Roman"/>
          <w:color w:val="auto"/>
          <w:kern w:val="2"/>
          <w:sz w:val="32"/>
          <w:szCs w:val="32"/>
          <w:lang w:val="en-US" w:eastAsia="zh-CN" w:bidi="ar-SA"/>
          <w:highlight w:val="auto"/>
        </w:rPr>
        <w:t>2025年度，</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机关运行经费支出</w:t>
      </w:r>
      <w:r>
        <w:rPr>
          <w:rFonts w:ascii="Times New Roman" w:eastAsia="仿宋_GB2312" w:cs="Times New Roman" w:hAnsi="Times New Roman"/>
          <w:sz w:val="32"/>
          <w:szCs w:val="32"/>
        </w:rPr>
        <w:t>212.24</w:t>
      </w:r>
      <w:r>
        <w:rPr>
          <w:rFonts w:ascii="Times New Roman" w:eastAsia="仿宋_GB2312" w:cs="Times New Roman" w:hAnsi="Times New Roman"/>
          <w:color w:val="auto"/>
          <w:kern w:val="2"/>
          <w:sz w:val="32"/>
          <w:szCs w:val="32"/>
          <w:lang w:val="en-US" w:eastAsia="zh-CN" w:bidi="ar-SA"/>
          <w:highlight w:val="auto"/>
        </w:rPr>
        <w:t>万元，比上年度增加1.16万元，增长0.5%。主要原因是办公费、物业管理费和其他交通费用较上一年度有所增加。</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98" w:name="_Toc15377223"/>
      <w:r>
        <w:rPr>
          <w:rFonts w:ascii="Times New Roman" w:eastAsia="楷体_GB2312" w:cs="Times New Roman" w:hAnsi="Times New Roman"/>
          <w:b/>
          <w:sz w:val="32"/>
          <w:szCs w:val="32"/>
        </w:rPr>
        <w:t>（二）政府采购支出情况</w:t>
      </w:r>
      <w:bookmarkEnd w:id="98"/>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2025年度，</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政府采购支出总额</w:t>
      </w:r>
      <w:r>
        <w:rPr>
          <w:rFonts w:ascii="Times New Roman" w:eastAsia="仿宋_GB2312" w:cs="Times New Roman" w:hAnsi="Times New Roman"/>
          <w:sz w:val="32"/>
          <w:szCs w:val="32"/>
        </w:rPr>
        <w:t>6.16</w:t>
      </w:r>
      <w:r>
        <w:rPr>
          <w:rFonts w:ascii="Times New Roman" w:eastAsia="仿宋_GB2312" w:cs="Times New Roman" w:hAnsi="Times New Roman"/>
          <w:color w:val="auto"/>
          <w:kern w:val="2"/>
          <w:sz w:val="32"/>
          <w:szCs w:val="32"/>
          <w:lang w:val="en-US" w:eastAsia="zh-CN" w:bidi="ar-SA"/>
          <w:highlight w:val="auto"/>
        </w:rPr>
        <w:t>万元，其中：政府采购货物支出</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万元、政府采购工程支出</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万元、政府采</w:t>
      </w:r>
      <w:bookmarkStart w:id="99" w:name="_Toc1934240412_WPSOffice_Level2"/>
      <w:r>
        <w:rPr>
          <w:rFonts w:ascii="Times New Roman" w:eastAsia="仿宋_GB2312" w:cs="Times New Roman" w:hAnsi="Times New Roman"/>
          <w:color w:val="auto"/>
          <w:kern w:val="2"/>
          <w:sz w:val="32"/>
          <w:szCs w:val="32"/>
          <w:lang w:val="en-US" w:eastAsia="zh-CN" w:bidi="ar-SA"/>
          <w:highlight w:val="auto"/>
        </w:rPr>
        <w:t>购服务支出</w:t>
      </w:r>
      <w:r>
        <w:rPr>
          <w:rFonts w:ascii="Times New Roman" w:eastAsia="仿宋_GB2312" w:cs="Times New Roman" w:hAnsi="Times New Roman"/>
          <w:sz w:val="32"/>
          <w:szCs w:val="32"/>
        </w:rPr>
        <w:t>6.</w:t>
      </w:r>
      <w:bookmarkEnd w:id="99"/>
      <w:r>
        <w:rPr>
          <w:rFonts w:ascii="Times New Roman" w:eastAsia="仿宋_GB2312" w:cs="Times New Roman" w:hAnsi="Times New Roman"/>
          <w:sz w:val="32"/>
          <w:szCs w:val="32"/>
        </w:rPr>
        <w:t>1</w:t>
      </w:r>
      <w:bookmarkStart w:id="100" w:name="_Toc971392231_WPSOffice_Level2"/>
      <w:r>
        <w:rPr>
          <w:rFonts w:ascii="Times New Roman" w:eastAsia="仿宋_GB2312" w:cs="Times New Roman" w:hAnsi="Times New Roman"/>
          <w:sz w:val="32"/>
          <w:szCs w:val="32"/>
        </w:rPr>
        <w:t>6</w:t>
      </w:r>
      <w:r>
        <w:rPr>
          <w:rFonts w:ascii="Times New Roman" w:eastAsia="仿宋_GB2312" w:cs="Times New Roman" w:hAnsi="Times New Roman"/>
          <w:color w:val="auto"/>
          <w:kern w:val="2"/>
          <w:sz w:val="32"/>
          <w:szCs w:val="32"/>
          <w:lang w:val="en-US" w:eastAsia="zh-CN" w:bidi="ar-SA"/>
          <w:highlight w:val="auto"/>
        </w:rPr>
        <w:t>万元。</w:t>
      </w:r>
      <w:r>
        <w:rPr>
          <w:rFonts w:ascii="Times New Roman" w:eastAsia="仿宋_GB2312" w:cs="Times New Roman" w:hAnsi="Times New Roman"/>
          <w:color w:val="auto"/>
          <w:sz w:val="32"/>
          <w:szCs w:val="32"/>
          <w:highlight w:val="auto"/>
        </w:rPr>
        <w:t>主要用于</w:t>
      </w:r>
      <w:r>
        <w:rPr>
          <w:rFonts w:ascii="Times New Roman" w:eastAsia="仿宋_GB2312" w:cs="Times New Roman" w:hAnsi="Times New Roman"/>
          <w:color w:val="auto"/>
          <w:sz w:val="32"/>
          <w:szCs w:val="32"/>
          <w:lang w:val="en-US" w:eastAsia="zh-CN"/>
          <w:highlight w:val="auto"/>
        </w:rPr>
        <w:t>公务车辆维修、加</w:t>
      </w:r>
      <w:bookmarkEnd w:id="100"/>
      <w:r>
        <w:rPr>
          <w:rFonts w:ascii="Times New Roman" w:eastAsia="仿宋_GB2312" w:cs="Times New Roman" w:hAnsi="Times New Roman"/>
          <w:color w:val="auto"/>
          <w:sz w:val="32"/>
          <w:szCs w:val="32"/>
          <w:lang w:val="en-US" w:eastAsia="zh-CN"/>
          <w:highlight w:val="auto"/>
        </w:rPr>
        <w:t>油、</w:t>
      </w:r>
      <w:bookmarkStart w:id="101" w:name="_Toc980140171_WPSOffice_Level2"/>
      <w:r>
        <w:rPr>
          <w:rFonts w:ascii="Times New Roman" w:eastAsia="仿宋_GB2312" w:cs="Times New Roman" w:hAnsi="Times New Roman"/>
          <w:color w:val="auto"/>
          <w:sz w:val="32"/>
          <w:szCs w:val="32"/>
          <w:lang w:val="en-US" w:eastAsia="zh-CN"/>
          <w:highlight w:val="auto"/>
        </w:rPr>
        <w:t>保险</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kern w:val="2"/>
          <w:sz w:val="32"/>
          <w:szCs w:val="32"/>
          <w:lang w:val="en-US" w:eastAsia="zh-CN" w:bidi="ar-SA"/>
          <w:highlight w:val="auto"/>
        </w:rPr>
        <w:t>授予中小企</w:t>
      </w:r>
      <w:bookmarkEnd w:id="101"/>
      <w:r>
        <w:rPr>
          <w:rFonts w:ascii="Times New Roman" w:eastAsia="仿宋_GB2312" w:cs="Times New Roman" w:hAnsi="Times New Roman"/>
          <w:color w:val="auto"/>
          <w:kern w:val="2"/>
          <w:sz w:val="32"/>
          <w:szCs w:val="32"/>
          <w:lang w:val="en-US" w:eastAsia="zh-CN" w:bidi="ar-SA"/>
          <w:highlight w:val="auto"/>
        </w:rPr>
        <w:t>业合同金额</w:t>
      </w:r>
      <w:r>
        <w:rPr>
          <w:rFonts w:ascii="Times New Roman" w:eastAsia="仿宋_GB2312" w:cs="Times New Roman" w:hAnsi="Times New Roman"/>
          <w:sz w:val="32"/>
          <w:szCs w:val="32"/>
        </w:rPr>
        <w:t>5</w:t>
      </w:r>
      <w:r>
        <w:rPr>
          <w:rFonts w:ascii="Times New Roman" w:eastAsia="仿宋_GB2312" w:cs="Times New Roman" w:hAnsi="Times New Roman"/>
          <w:color w:val="auto"/>
          <w:kern w:val="2"/>
          <w:sz w:val="32"/>
          <w:szCs w:val="32"/>
          <w:lang w:val="en-US" w:eastAsia="zh-CN" w:bidi="ar-SA"/>
          <w:highlight w:val="auto"/>
        </w:rPr>
        <w:t>万元，占政府采购支出总额的</w:t>
      </w:r>
      <w:r>
        <w:rPr>
          <w:rFonts w:ascii="Times New Roman" w:eastAsia="仿宋_GB2312" w:cs="Times New Roman" w:hAnsi="Times New Roman"/>
          <w:sz w:val="32"/>
          <w:szCs w:val="32"/>
        </w:rPr>
        <w:t>81.</w:t>
      </w:r>
      <w:r>
        <w:rPr>
          <w:rFonts w:ascii="Times New Roman" w:eastAsia="仿宋_GB2312" w:cs="Times New Roman" w:hAnsi="Times New Roman"/>
          <w:sz w:val="32"/>
          <w:szCs w:val="32"/>
          <w:lang w:val="en-US" w:eastAsia="zh-CN"/>
        </w:rPr>
        <w:t>2</w:t>
      </w:r>
      <w:r>
        <w:rPr>
          <w:rFonts w:ascii="Times New Roman" w:eastAsia="仿宋_GB2312" w:cs="Times New Roman" w:hAnsi="Times New Roman"/>
          <w:color w:val="auto"/>
          <w:kern w:val="2"/>
          <w:sz w:val="32"/>
          <w:szCs w:val="32"/>
          <w:lang w:val="en-US" w:eastAsia="zh-CN" w:bidi="ar-SA"/>
          <w:highlight w:val="auto"/>
        </w:rPr>
        <w:t>%，其中：授予小微企业合同金额</w:t>
      </w:r>
      <w:r>
        <w:rPr>
          <w:rFonts w:ascii="Times New Roman" w:eastAsia="仿宋_GB2312" w:cs="Times New Roman" w:hAnsi="Times New Roman"/>
          <w:sz w:val="32"/>
          <w:szCs w:val="32"/>
          <w:lang w:val="en-US" w:eastAsia="zh-CN"/>
        </w:rPr>
        <w:t>2</w:t>
      </w:r>
      <w:r>
        <w:rPr>
          <w:rFonts w:ascii="Times New Roman" w:eastAsia="仿宋_GB2312" w:cs="Times New Roman" w:hAnsi="Times New Roman"/>
          <w:color w:val="auto"/>
          <w:kern w:val="2"/>
          <w:sz w:val="32"/>
          <w:szCs w:val="32"/>
          <w:lang w:val="en-US" w:eastAsia="zh-CN" w:bidi="ar-SA"/>
          <w:highlight w:val="auto"/>
        </w:rPr>
        <w:t>万元，占政府采购支出总额的</w:t>
      </w:r>
      <w:r>
        <w:rPr>
          <w:rFonts w:ascii="Times New Roman" w:eastAsia="仿宋_GB2312" w:cs="Times New Roman" w:hAnsi="Times New Roman"/>
          <w:sz w:val="32"/>
          <w:szCs w:val="32"/>
          <w:lang w:val="en-US" w:eastAsia="zh-CN"/>
        </w:rPr>
        <w:t>32.5</w:t>
      </w:r>
      <w:r>
        <w:rPr>
          <w:rFonts w:ascii="Times New Roman" w:eastAsia="仿宋_GB2312" w:cs="Times New Roman" w:hAnsi="Times New Roman"/>
          <w:color w:val="auto"/>
          <w:kern w:val="2"/>
          <w:sz w:val="32"/>
          <w:szCs w:val="32"/>
          <w:lang w:val="en-US" w:eastAsia="zh-CN" w:bidi="ar-SA"/>
          <w:highlight w:val="auto"/>
        </w:rPr>
        <w:t>%。</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bookmarkStart w:id="102" w:name="_Toc15377224"/>
      <w:r>
        <w:rPr>
          <w:rFonts w:ascii="Times New Roman" w:eastAsia="楷体_GB2312" w:cs="Times New Roman" w:hAnsi="Times New Roman"/>
          <w:b/>
          <w:sz w:val="32"/>
          <w:szCs w:val="32"/>
        </w:rPr>
        <w:t>（三）国有资产占有使用情况</w:t>
      </w:r>
      <w:bookmarkEnd w:id="102"/>
    </w:p>
    <w:p>
      <w:pPr>
        <w:spacing w:line="600" w:lineRule="exact"/>
        <w:ind w:firstLine="640"/>
        <w:rPr>
          <w:rFonts w:ascii="Times New Roman" w:eastAsia="仿宋_GB2312" w:cs="Times New Roman" w:hAnsi="Times New Roman"/>
          <w:color w:val="auto"/>
          <w:kern w:val="2"/>
          <w:sz w:val="32"/>
          <w:szCs w:val="32"/>
          <w:lang w:val="en-US" w:eastAsia="zh-CN" w:bidi="ar-SA"/>
          <w:highlight w:val="auto"/>
        </w:rPr>
      </w:pPr>
      <w:r>
        <w:rPr>
          <w:rFonts w:ascii="Times New Roman" w:eastAsia="仿宋_GB2312" w:cs="Times New Roman" w:hAnsi="Times New Roman"/>
          <w:color w:val="auto"/>
          <w:kern w:val="2"/>
          <w:sz w:val="32"/>
          <w:szCs w:val="32"/>
          <w:lang w:val="en-US" w:eastAsia="zh-CN" w:bidi="ar-SA"/>
          <w:highlight w:val="auto"/>
        </w:rPr>
        <w:t>截至2025年12月31日，</w:t>
      </w:r>
      <w:r>
        <w:rPr>
          <w:rFonts w:ascii="Times New Roman" w:eastAsia="仿宋_GB2312" w:cs="Times New Roman" w:hAnsi="Times New Roman"/>
          <w:sz w:val="32"/>
          <w:szCs w:val="32"/>
        </w:rPr>
        <w:t>攀枝花市司法局</w:t>
      </w:r>
      <w:r>
        <w:rPr>
          <w:rFonts w:ascii="Times New Roman" w:eastAsia="仿宋_GB2312" w:cs="Times New Roman" w:hAnsi="Times New Roman"/>
          <w:color w:val="auto"/>
          <w:kern w:val="2"/>
          <w:sz w:val="32"/>
          <w:szCs w:val="32"/>
          <w:lang w:val="en-US" w:eastAsia="zh-CN" w:bidi="ar-SA"/>
          <w:highlight w:val="auto"/>
        </w:rPr>
        <w:t>共有车辆</w:t>
      </w:r>
      <w:r>
        <w:rPr>
          <w:rFonts w:ascii="Times New Roman" w:eastAsia="仿宋_GB2312" w:cs="Times New Roman" w:hAnsi="Times New Roman"/>
          <w:sz w:val="32"/>
          <w:szCs w:val="32"/>
        </w:rPr>
        <w:t>5</w:t>
      </w:r>
      <w:r>
        <w:rPr>
          <w:rFonts w:ascii="Times New Roman" w:eastAsia="仿宋_GB2312" w:cs="Times New Roman" w:hAnsi="Times New Roman"/>
          <w:color w:val="auto"/>
          <w:kern w:val="2"/>
          <w:sz w:val="32"/>
          <w:szCs w:val="32"/>
          <w:lang w:val="en-US" w:eastAsia="zh-CN" w:bidi="ar-SA"/>
          <w:highlight w:val="auto"/>
        </w:rPr>
        <w:t>辆，其中：副部（省）级及以上领导用车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辆、主要负责人用车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辆、机要通信用车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辆、应急保障用车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辆、执法执勤用车</w:t>
      </w:r>
      <w:r>
        <w:rPr>
          <w:rFonts w:ascii="Times New Roman" w:eastAsia="仿宋_GB2312" w:cs="Times New Roman" w:hAnsi="Times New Roman"/>
          <w:sz w:val="32"/>
          <w:szCs w:val="32"/>
        </w:rPr>
        <w:t>3</w:t>
      </w:r>
      <w:r>
        <w:rPr>
          <w:rFonts w:ascii="Times New Roman" w:eastAsia="仿宋_GB2312" w:cs="Times New Roman" w:hAnsi="Times New Roman"/>
          <w:color w:val="auto"/>
          <w:kern w:val="2"/>
          <w:sz w:val="32"/>
          <w:szCs w:val="32"/>
          <w:lang w:val="en-US" w:eastAsia="zh-CN" w:bidi="ar-SA"/>
          <w:highlight w:val="auto"/>
        </w:rPr>
        <w:t>辆、特种专业技术用车</w:t>
      </w:r>
      <w:r>
        <w:rPr>
          <w:rFonts w:ascii="Times New Roman" w:eastAsia="仿宋_GB2312" w:cs="Times New Roman" w:hAnsi="Times New Roman"/>
          <w:sz w:val="32"/>
          <w:szCs w:val="32"/>
        </w:rPr>
        <w:t>1</w:t>
      </w:r>
      <w:r>
        <w:rPr>
          <w:rFonts w:ascii="Times New Roman" w:eastAsia="仿宋_GB2312" w:cs="Times New Roman" w:hAnsi="Times New Roman"/>
          <w:color w:val="auto"/>
          <w:kern w:val="2"/>
          <w:sz w:val="32"/>
          <w:szCs w:val="32"/>
          <w:lang w:val="en-US" w:eastAsia="zh-CN" w:bidi="ar-SA"/>
          <w:highlight w:val="auto"/>
        </w:rPr>
        <w:t>辆、离退休干部服务用车</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辆、其他用车</w:t>
      </w:r>
      <w:r>
        <w:rPr>
          <w:rFonts w:ascii="Times New Roman" w:eastAsia="仿宋_GB2312" w:cs="Times New Roman" w:hAnsi="Times New Roman"/>
          <w:sz w:val="32"/>
          <w:szCs w:val="32"/>
        </w:rPr>
        <w:t>1</w:t>
      </w:r>
      <w:r>
        <w:rPr>
          <w:rFonts w:ascii="Times New Roman" w:eastAsia="仿宋_GB2312" w:cs="Times New Roman" w:hAnsi="Times New Roman"/>
          <w:color w:val="auto"/>
          <w:kern w:val="2"/>
          <w:sz w:val="32"/>
          <w:szCs w:val="32"/>
          <w:lang w:val="en-US" w:eastAsia="zh-CN" w:bidi="ar-SA"/>
          <w:highlight w:val="auto"/>
        </w:rPr>
        <w:t>辆，其他用车主要是用于攀枝花公证处开展公证业务用车。单价100万元（含）以上设备（不含车辆）</w:t>
      </w:r>
      <w:r>
        <w:rPr>
          <w:rFonts w:ascii="Times New Roman" w:eastAsia="仿宋_GB2312" w:cs="Times New Roman" w:hAnsi="Times New Roman"/>
          <w:sz w:val="32"/>
          <w:szCs w:val="32"/>
        </w:rPr>
        <w:t>0</w:t>
      </w:r>
      <w:r>
        <w:rPr>
          <w:rFonts w:ascii="Times New Roman" w:eastAsia="仿宋_GB2312" w:cs="Times New Roman" w:hAnsi="Times New Roman"/>
          <w:color w:val="auto"/>
          <w:kern w:val="2"/>
          <w:sz w:val="32"/>
          <w:szCs w:val="32"/>
          <w:lang w:val="en-US" w:eastAsia="zh-CN" w:bidi="ar-SA"/>
          <w:highlight w:val="auto"/>
        </w:rPr>
        <w:t>台（套）。</w:t>
      </w:r>
    </w:p>
    <w:p>
      <w:pPr>
        <w:spacing w:line="600" w:lineRule="exact"/>
        <w:ind w:firstLine="640"/>
        <w:rPr>
          <w:rFonts w:ascii="Times New Roman" w:eastAsia="仿宋_GB2312" w:cs="Times New Roman" w:hAnsi="Times New Roman"/>
          <w:sz w:val="32"/>
          <w:szCs w:val="32"/>
        </w:rPr>
      </w:pPr>
    </w:p>
    <w:p>
      <w:pPr>
        <w:spacing w:line="600" w:lineRule="exact"/>
        <w:ind w:firstLineChars="200" w:firstLine="640"/>
        <w:outlineLvl w:val="2"/>
        <w:rPr>
          <w:rFonts w:ascii="Times New Roman" w:eastAsia="楷体_GB2312" w:cs="Times New Roman" w:hAnsi="Times New Roman"/>
          <w:b/>
          <w:sz w:val="32"/>
          <w:szCs w:val="32"/>
        </w:rPr>
      </w:pPr>
      <w:r>
        <w:rPr>
          <w:rFonts w:ascii="Times New Roman" w:eastAsia="楷体_GB2312" w:cs="Times New Roman" w:hAnsi="Times New Roman"/>
          <w:b/>
          <w:sz w:val="32"/>
          <w:szCs w:val="32"/>
        </w:rPr>
        <w:t>（四）预算绩效管理情况</w:t>
      </w:r>
    </w:p>
    <w:p>
      <w:pPr>
        <w:spacing w:line="580" w:lineRule="exact"/>
        <w:ind w:firstLineChars="200" w:firstLine="640"/>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rPr>
        <w:t>根据预算绩效管理要求，本</w:t>
      </w:r>
      <w:r>
        <w:rPr>
          <w:rFonts w:eastAsia="仿宋_GB2312" w:cs="Times New Roman" w:hint="eastAsia"/>
          <w:sz w:val="32"/>
          <w:szCs w:val="32"/>
          <w:lang w:eastAsia="zh-CN"/>
        </w:rPr>
        <w:t>单位</w:t>
      </w:r>
      <w:r>
        <w:rPr>
          <w:rFonts w:ascii="Times New Roman" w:eastAsia="仿宋_GB2312" w:cs="Times New Roman" w:hAnsi="Times New Roman"/>
          <w:sz w:val="32"/>
          <w:szCs w:val="32"/>
        </w:rPr>
        <w:t>在202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年度预算编制阶段，</w:t>
      </w:r>
      <w:r>
        <w:rPr>
          <w:rFonts w:ascii="Times New Roman" w:eastAsia="仿宋_GB2312" w:cs="Times New Roman" w:hAnsi="Times New Roman"/>
          <w:sz w:val="32"/>
          <w:szCs w:val="32"/>
          <w:highlight w:val="auto"/>
        </w:rPr>
        <w:t>组织对</w:t>
      </w:r>
      <w:r>
        <w:rPr>
          <w:rFonts w:ascii="Times New Roman" w:eastAsia="仿宋_GB2312" w:cs="Times New Roman" w:hAnsi="Times New Roman"/>
          <w:sz w:val="32"/>
          <w:szCs w:val="32"/>
          <w:lang w:val="en-US" w:eastAsia="zh-CN"/>
          <w:highlight w:val="auto"/>
        </w:rPr>
        <w:t>12</w:t>
      </w:r>
      <w:r>
        <w:rPr>
          <w:rFonts w:ascii="Times New Roman" w:eastAsia="仿宋_GB2312" w:cs="Times New Roman" w:hAnsi="Times New Roman"/>
          <w:sz w:val="32"/>
          <w:szCs w:val="32"/>
          <w:highlight w:val="auto"/>
        </w:rPr>
        <w:t>个项目编制了绩效目标，预算执行过程中，选取</w:t>
      </w:r>
      <w:r>
        <w:rPr>
          <w:rFonts w:ascii="Times New Roman" w:eastAsia="仿宋_GB2312" w:cs="Times New Roman" w:hAnsi="Times New Roman"/>
          <w:sz w:val="32"/>
          <w:szCs w:val="32"/>
          <w:lang w:val="en-US" w:eastAsia="zh-CN"/>
          <w:highlight w:val="auto"/>
        </w:rPr>
        <w:t>12</w:t>
      </w:r>
      <w:r>
        <w:rPr>
          <w:rFonts w:ascii="Times New Roman" w:eastAsia="仿宋_GB2312" w:cs="Times New Roman" w:hAnsi="Times New Roman"/>
          <w:sz w:val="32"/>
          <w:szCs w:val="32"/>
          <w:highlight w:val="auto"/>
        </w:rPr>
        <w:t>个项目开展绩效监控。</w:t>
      </w:r>
    </w:p>
    <w:p>
      <w:pPr>
        <w:pStyle w:val="16"/>
        <w:spacing w:line="360" w:lineRule="auto"/>
        <w:ind w:firstLineChars="200" w:firstLine="640"/>
        <w:rPr>
          <w:rFonts w:ascii="Times New Roman" w:eastAsia="仿宋_GB2312" w:cs="Times New Roman" w:hAnsi="Times New Roman"/>
          <w:sz w:val="32"/>
          <w:szCs w:val="32"/>
          <w:highlight w:val="yellow"/>
        </w:rPr>
      </w:pPr>
      <w:r>
        <w:rPr>
          <w:rFonts w:ascii="Times New Roman" w:cs="Times New Roman" w:hAnsi="Times New Roman"/>
          <w:sz w:val="32"/>
          <w:szCs w:val="32"/>
          <w:lang w:val="en-US" w:eastAsia="zh-CN"/>
          <w:highlight w:val="auto"/>
        </w:rPr>
        <w:t>2025年度</w:t>
      </w:r>
      <w:r>
        <w:rPr>
          <w:rFonts w:ascii="Times New Roman" w:cs="Times New Roman" w:hAnsi="Times New Roman"/>
          <w:sz w:val="32"/>
          <w:szCs w:val="32"/>
          <w:lang w:eastAsia="zh-CN"/>
          <w:highlight w:val="auto"/>
        </w:rPr>
        <w:t>本</w:t>
      </w:r>
      <w:r>
        <w:rPr>
          <w:rFonts w:ascii="Times New Roman" w:cs="Times New Roman" w:hAnsi="Times New Roman" w:hint="eastAsia"/>
          <w:sz w:val="32"/>
          <w:szCs w:val="32"/>
          <w:lang w:eastAsia="zh-CN"/>
          <w:highlight w:val="auto"/>
        </w:rPr>
        <w:t>单位</w:t>
      </w:r>
      <w:r>
        <w:rPr>
          <w:rFonts w:ascii="Times New Roman" w:cs="Times New Roman" w:hAnsi="Times New Roman"/>
          <w:sz w:val="32"/>
          <w:szCs w:val="32"/>
          <w:lang w:eastAsia="zh-CN"/>
          <w:highlight w:val="auto"/>
        </w:rPr>
        <w:t>无政府性基金预算、</w:t>
      </w:r>
      <w:r>
        <w:rPr>
          <w:rFonts w:ascii="Times New Roman" w:eastAsia="仿宋_GB2312" w:cs="Times New Roman" w:hAnsi="Times New Roman"/>
          <w:sz w:val="32"/>
          <w:szCs w:val="32"/>
        </w:rPr>
        <w:t>国有资本经营预算、社会保险基金预算以及资本资产、债券资金</w:t>
      </w:r>
      <w:r>
        <w:rPr>
          <w:rFonts w:ascii="Times New Roman" w:cs="Times New Roman" w:hAnsi="Times New Roman"/>
          <w:sz w:val="32"/>
          <w:szCs w:val="32"/>
          <w:lang w:eastAsia="zh-CN"/>
        </w:rPr>
        <w:t>。</w:t>
      </w:r>
      <w:r>
        <w:rPr>
          <w:rFonts w:ascii="Times New Roman" w:eastAsia="仿宋_GB2312" w:cs="Times New Roman" w:hAnsi="Times New Roman"/>
          <w:sz w:val="32"/>
          <w:szCs w:val="32"/>
          <w:highlight w:val="auto"/>
        </w:rPr>
        <w:t>组织对202</w:t>
      </w:r>
      <w:r>
        <w:rPr>
          <w:rFonts w:ascii="Times New Roman" w:cs="Times New Roman" w:hAnsi="Times New Roman"/>
          <w:sz w:val="32"/>
          <w:szCs w:val="32"/>
          <w:lang w:val="en-US" w:eastAsia="zh-CN"/>
          <w:highlight w:val="auto"/>
        </w:rPr>
        <w:t>5</w:t>
      </w:r>
      <w:r>
        <w:rPr>
          <w:rFonts w:ascii="Times New Roman" w:eastAsia="仿宋_GB2312" w:cs="Times New Roman" w:hAnsi="Times New Roman"/>
          <w:sz w:val="32"/>
          <w:szCs w:val="32"/>
          <w:highlight w:val="auto"/>
        </w:rPr>
        <w:t>年度一般公共预算开展绩效自评，形成攀枝花市司法局</w:t>
      </w:r>
      <w:r>
        <w:rPr>
          <w:rFonts w:ascii="Times New Roman" w:cs="Times New Roman" w:hAnsi="Times New Roman" w:hint="eastAsia"/>
          <w:sz w:val="32"/>
          <w:szCs w:val="32"/>
          <w:lang w:eastAsia="zh-CN"/>
          <w:highlight w:val="auto"/>
        </w:rPr>
        <w:t>单位</w:t>
      </w:r>
      <w:r>
        <w:rPr>
          <w:rFonts w:ascii="Times New Roman" w:eastAsia="仿宋_GB2312" w:cs="Times New Roman" w:hAnsi="Times New Roman"/>
          <w:sz w:val="32"/>
          <w:szCs w:val="32"/>
          <w:highlight w:val="auto"/>
        </w:rPr>
        <w:t>整体（含</w:t>
      </w:r>
      <w:r>
        <w:rPr>
          <w:rFonts w:ascii="Times New Roman" w:cs="Times New Roman" w:hAnsi="Times New Roman" w:hint="eastAsia"/>
          <w:sz w:val="32"/>
          <w:szCs w:val="32"/>
          <w:lang w:eastAsia="zh-CN"/>
          <w:highlight w:val="auto"/>
        </w:rPr>
        <w:t>单位</w:t>
      </w:r>
      <w:r>
        <w:rPr>
          <w:rFonts w:ascii="Times New Roman" w:eastAsia="仿宋_GB2312" w:cs="Times New Roman" w:hAnsi="Times New Roman"/>
          <w:sz w:val="32"/>
          <w:szCs w:val="32"/>
          <w:highlight w:val="auto"/>
        </w:rPr>
        <w:t>预算项目）绩效自评报告</w:t>
      </w:r>
      <w:r>
        <w:rPr>
          <w:rFonts w:ascii="Times New Roman" w:eastAsia="仿宋_GB2312" w:cs="Times New Roman" w:hAnsi="Times New Roman"/>
          <w:sz w:val="32"/>
          <w:szCs w:val="32"/>
          <w:lang w:eastAsia="zh-CN"/>
          <w:highlight w:val="auto"/>
        </w:rPr>
        <w:t>，</w:t>
      </w:r>
      <w:r>
        <w:rPr>
          <w:rFonts w:ascii="Times New Roman" w:cs="Times New Roman" w:hAnsi="Times New Roman" w:hint="eastAsia"/>
          <w:sz w:val="32"/>
          <w:szCs w:val="32"/>
          <w:lang w:eastAsia="zh-CN"/>
          <w:highlight w:val="auto"/>
        </w:rPr>
        <w:t>单位</w:t>
      </w:r>
      <w:r>
        <w:rPr>
          <w:rFonts w:ascii="Times New Roman" w:eastAsia="仿宋_GB2312" w:cs="Times New Roman" w:hAnsi="Times New Roman"/>
          <w:sz w:val="32"/>
          <w:szCs w:val="32"/>
          <w:highlight w:val="auto"/>
        </w:rPr>
        <w:t>整体（含</w:t>
      </w:r>
      <w:r>
        <w:rPr>
          <w:rFonts w:ascii="Times New Roman" w:cs="Times New Roman" w:hAnsi="Times New Roman" w:hint="eastAsia"/>
          <w:sz w:val="32"/>
          <w:szCs w:val="32"/>
          <w:lang w:eastAsia="zh-CN"/>
          <w:highlight w:val="auto"/>
        </w:rPr>
        <w:t>单位</w:t>
      </w:r>
      <w:r>
        <w:rPr>
          <w:rFonts w:ascii="Times New Roman" w:eastAsia="仿宋_GB2312" w:cs="Times New Roman" w:hAnsi="Times New Roman"/>
          <w:sz w:val="32"/>
          <w:szCs w:val="32"/>
          <w:highlight w:val="auto"/>
        </w:rPr>
        <w:t>预算项目）绩效自评得分为</w:t>
      </w:r>
      <w:r>
        <w:rPr>
          <w:rFonts w:ascii="Times New Roman" w:cs="Times New Roman" w:hAnsi="Times New Roman"/>
          <w:sz w:val="32"/>
          <w:szCs w:val="32"/>
          <w:lang w:val="en-US" w:eastAsia="zh-CN"/>
          <w:highlight w:val="auto"/>
        </w:rPr>
        <w:t>96.44</w:t>
      </w:r>
      <w:r>
        <w:rPr>
          <w:rFonts w:ascii="Times New Roman" w:eastAsia="仿宋_GB2312" w:cs="Times New Roman" w:hAnsi="Times New Roman"/>
          <w:sz w:val="32"/>
          <w:szCs w:val="32"/>
          <w:highlight w:val="auto"/>
        </w:rPr>
        <w:t>分，绩效自评综述：按照政府会计制度，攀枝花市司法</w:t>
      </w:r>
      <w:r>
        <w:rPr>
          <w:rFonts w:ascii="Times New Roman" w:eastAsia="仿宋_GB2312" w:cs="Times New Roman" w:hAnsi="Times New Roman"/>
          <w:sz w:val="32"/>
          <w:szCs w:val="32"/>
        </w:rPr>
        <w:t>局科学、合理编制</w:t>
      </w:r>
      <w:r>
        <w:rPr>
          <w:rFonts w:ascii="Times New Roman" w:cs="Times New Roman" w:hAnsi="Times New Roman" w:hint="eastAsia"/>
          <w:sz w:val="32"/>
          <w:szCs w:val="32"/>
          <w:lang w:eastAsia="zh-CN"/>
        </w:rPr>
        <w:t>单位</w:t>
      </w:r>
      <w:r>
        <w:rPr>
          <w:rFonts w:ascii="Times New Roman" w:eastAsia="仿宋_GB2312" w:cs="Times New Roman" w:hAnsi="Times New Roman"/>
          <w:sz w:val="32"/>
          <w:szCs w:val="32"/>
        </w:rPr>
        <w:t>预算和设定整体支出绩效目标，在预算执行过程中严格执行财经纪律相关规定，坚持预算执行和绩效目标过程监控，较好地完成了绩效目标管理各项要求，顺利完成了202</w:t>
      </w:r>
      <w:r>
        <w:rPr>
          <w:rFonts w:ascii="Times New Roman" w:cs="Times New Roman" w:hAnsi="Times New Roman"/>
          <w:sz w:val="32"/>
          <w:szCs w:val="32"/>
          <w:lang w:val="en-US" w:eastAsia="zh-CN"/>
        </w:rPr>
        <w:t>5</w:t>
      </w:r>
      <w:r>
        <w:rPr>
          <w:rFonts w:ascii="Times New Roman" w:eastAsia="仿宋_GB2312" w:cs="Times New Roman" w:hAnsi="Times New Roman"/>
          <w:sz w:val="32"/>
          <w:szCs w:val="32"/>
        </w:rPr>
        <w:t>年度</w:t>
      </w:r>
      <w:r>
        <w:rPr>
          <w:rFonts w:ascii="Times New Roman" w:cs="Times New Roman" w:hAnsi="Times New Roman" w:hint="eastAsia"/>
          <w:sz w:val="32"/>
          <w:szCs w:val="32"/>
          <w:lang w:eastAsia="zh-CN"/>
        </w:rPr>
        <w:t>单位</w:t>
      </w:r>
      <w:r>
        <w:rPr>
          <w:rFonts w:ascii="Times New Roman" w:eastAsia="仿宋_GB2312" w:cs="Times New Roman" w:hAnsi="Times New Roman"/>
          <w:sz w:val="32"/>
          <w:szCs w:val="32"/>
        </w:rPr>
        <w:t>整体支出绩效目标，充分发挥了财政资金效能，有效推动司法行政业务工作，高效统筹法治攀枝花建设，切实履行行政立法、行政执法、刑事执行和公共法律服务职能，积极化解社会矛盾纠纷，不断优化营商环境，护航攀枝花高质量发展建设共同富裕实验区。</w:t>
      </w:r>
      <w:r>
        <w:rPr>
          <w:rFonts w:ascii="Times New Roman" w:eastAsia="仿宋_GB2312" w:cs="Times New Roman" w:hAnsi="Times New Roman"/>
          <w:sz w:val="32"/>
          <w:szCs w:val="32"/>
          <w:highlight w:val="auto"/>
        </w:rPr>
        <w:t>绩效自评报告详见附件。</w:t>
      </w:r>
    </w:p>
    <w:p>
      <w:pPr>
        <w:spacing w:line="600" w:lineRule="exact"/>
        <w:ind w:firstLine="640"/>
        <w:rPr>
          <w:rFonts w:ascii="Times New Roman" w:eastAsia="仿宋_GB2312" w:cs="Times New Roman" w:hAnsi="Times New Roman"/>
          <w:sz w:val="32"/>
          <w:szCs w:val="32"/>
        </w:rPr>
      </w:pPr>
    </w:p>
    <w:p>
      <w:pPr>
        <w:spacing w:line="600" w:lineRule="exact"/>
        <w:ind w:firstLine="640"/>
        <w:rPr>
          <w:rFonts w:ascii="Times New Roman" w:eastAsia="仿宋_GB2312" w:cs="Times New Roman" w:hAnsi="Times New Roman"/>
          <w:sz w:val="32"/>
          <w:szCs w:val="32"/>
        </w:rPr>
      </w:pPr>
    </w:p>
    <w:p>
      <w:pPr>
        <w:spacing w:line="600" w:lineRule="exact"/>
        <w:jc w:val="center"/>
        <w:outlineLvl w:val="0"/>
        <w:rPr>
          <w:rFonts w:ascii="Times New Roman" w:eastAsia="黑体" w:cs="Times New Roman" w:hAnsi="Times New Roman"/>
          <w:sz w:val="44"/>
          <w:szCs w:val="44"/>
        </w:rPr>
      </w:pPr>
      <w:bookmarkStart w:id="103" w:name="_Toc15377225"/>
      <w:bookmarkStart w:id="104" w:name="_Toc1277231889_WPSOffice_Level1"/>
      <w:bookmarkStart w:id="105" w:name="_Toc15396613"/>
      <w:r>
        <w:rPr>
          <w:rFonts w:ascii="Times New Roman" w:eastAsia="黑体" w:cs="Times New Roman" w:hAnsi="Times New Roman"/>
          <w:sz w:val="44"/>
          <w:szCs w:val="44"/>
        </w:rPr>
        <w:t>第三部分  名词解释</w:t>
      </w:r>
      <w:bookmarkEnd w:id="103"/>
      <w:bookmarkEnd w:id="104"/>
      <w:bookmarkEnd w:id="105"/>
    </w:p>
    <w:p>
      <w:pPr>
        <w:spacing w:line="600" w:lineRule="exact"/>
        <w:jc w:val="left"/>
        <w:rPr>
          <w:rFonts w:ascii="Times New Roman" w:cs="Times New Roman" w:hAnsi="Times New Roman"/>
          <w:b/>
          <w:sz w:val="44"/>
          <w:szCs w:val="44"/>
        </w:rPr>
      </w:pP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w:t>
      </w:r>
      <w:r>
        <w:rPr>
          <w:rFonts w:ascii="Times New Roman" w:eastAsia="仿宋_GB2312" w:cs="Times New Roman" w:hAnsi="Times New Roman" w:hint="eastAsia"/>
          <w:color w:val="auto"/>
          <w:sz w:val="32"/>
          <w:szCs w:val="32"/>
          <w:lang w:eastAsia="zh-CN"/>
        </w:rPr>
        <w:t>单位</w:t>
      </w:r>
      <w:r>
        <w:rPr>
          <w:rFonts w:ascii="Times New Roman" w:eastAsia="仿宋_GB2312" w:cs="Times New Roman" w:hAnsi="Times New Roman"/>
          <w:color w:val="auto"/>
          <w:sz w:val="32"/>
          <w:szCs w:val="32"/>
        </w:rPr>
        <w:t>取得的财政预算资金。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2.其他收入：指单位取得的除财政拨款收入以外的各项收入。主要是上级工作补助和非同级财政拨款等。</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3.使用非财政拨款结余：指事业单位使用以前年度积累的非财政拨款结余弥补当年收支差额的金额。</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4.年初结转和结余：指以前年度尚未完成、结转到本年按有关规定继续使用的资金。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5.结余分配：指事业单位按照会计制度规定缴纳的所得税、提取的专用结余以及转入非财政拨款结余的金额等。</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6.年末结转和结余：指单位按有关规定结转到下年或以后年度继续使用的资金。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7.一般公共服务（类）组织事务（款）其他组织事务支出（项）: 指反映组织事务明细项以外其他用于中国共产党组织</w:t>
      </w:r>
      <w:r>
        <w:rPr>
          <w:rFonts w:ascii="Times New Roman" w:eastAsia="仿宋_GB2312" w:cs="Times New Roman" w:hAnsi="Times New Roman" w:hint="eastAsia"/>
          <w:color w:val="auto"/>
          <w:sz w:val="32"/>
          <w:szCs w:val="32"/>
          <w:lang w:eastAsia="zh-CN"/>
        </w:rPr>
        <w:t>单位</w:t>
      </w:r>
      <w:r>
        <w:rPr>
          <w:rFonts w:ascii="Times New Roman" w:eastAsia="仿宋_GB2312" w:cs="Times New Roman" w:hAnsi="Times New Roman"/>
          <w:color w:val="auto"/>
          <w:sz w:val="32"/>
          <w:szCs w:val="32"/>
        </w:rPr>
        <w:t>的事务支出。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8.公共安全（类）司法（款）行政运行（项）: 指反映行政单位（包括实行公务员管理的事业单位）的基本支出。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9. 公共安全（类）司法（款）一般行政管理事务（项）:指反映行政单位（包括实行公务员管理的事业单位）未单独设置项级科目的其他项目支出。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10. 公共安全（类）司法（款）律师公证管理（项）:指反映各级司法行政</w:t>
      </w:r>
      <w:r>
        <w:rPr>
          <w:rFonts w:ascii="Times New Roman" w:eastAsia="仿宋_GB2312" w:cs="Times New Roman" w:hAnsi="Times New Roman" w:hint="eastAsia"/>
          <w:color w:val="auto"/>
          <w:sz w:val="32"/>
          <w:szCs w:val="32"/>
          <w:lang w:eastAsia="zh-CN"/>
        </w:rPr>
        <w:t>单位</w:t>
      </w:r>
      <w:r>
        <w:rPr>
          <w:rFonts w:ascii="Times New Roman" w:eastAsia="仿宋_GB2312" w:cs="Times New Roman" w:hAnsi="Times New Roman"/>
          <w:color w:val="auto"/>
          <w:sz w:val="32"/>
          <w:szCs w:val="32"/>
        </w:rPr>
        <w:t>用于指导律师公证工作的支出和对享受财政补助的律师事务所、公证处等单位的补助。</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11. 公共安全（类）司法（款）法律援助（项）: 指反映各级法律援助机构用于开展法律援助工作的支出。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12. 公共安全（类）司法（款）事业运行（项）:指反映事业单位的基本支出，不包括行政单位（包括实行公务员管理的事业单位）后勤服务中心、医务室等附属事业单位。</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13.社会保障和就业支出（类）人力资源和社会保障管理事务（款）其他人力资源和社会保障管理事务支出（项）: 指反映人力资源和社会保障管理事务明细项以外的其他用于人力资源和社会保障管理事务方面的支出。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14.社会保障和就业支出（类）行政事业单位离退休（款）未归口管理的行政单位离</w:t>
      </w:r>
      <w:bookmarkStart w:id="106" w:name="_Toc431769838_WPSOffice_Level2"/>
      <w:r>
        <w:rPr>
          <w:rFonts w:ascii="Times New Roman" w:eastAsia="仿宋_GB2312" w:cs="Times New Roman" w:hAnsi="Times New Roman"/>
          <w:color w:val="auto"/>
          <w:sz w:val="32"/>
          <w:szCs w:val="32"/>
        </w:rPr>
        <w:t>退休（项）: 指反映</w:t>
      </w:r>
      <w:bookmarkEnd w:id="106"/>
      <w:r>
        <w:rPr>
          <w:rFonts w:ascii="Times New Roman" w:eastAsia="仿宋_GB2312" w:cs="Times New Roman" w:hAnsi="Times New Roman"/>
          <w:color w:val="auto"/>
          <w:sz w:val="32"/>
          <w:szCs w:val="32"/>
        </w:rPr>
        <w:t>未实行归口管理的行政单位（包括实行公务员管理的事业单位）开支的离退休支出。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15.社会保障和就业支出（类）行政事业单位离退休（款）机关事业单位基本养老保险缴费支出（项）: 指反映机关事业单位实施养老保险制度由单位缴纳的基本养老保险费支出。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16.社会保障和就业支出（类）抚恤（款）死亡抚恤（项）: 指反映按规定用于烈士和牺牲、病故人员家属的一次性和定期抚恤金以及丧葬补助费。</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17.社会保障和就业支出（类）社会福利（款）儿童福利（项）: 指反映对儿童提供福利服务方面的支出。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18.医疗卫生与计划生育支出（类）公共卫生（款）重大公共卫生专项（项）:指反映重大疾病预防控制等重大公共卫生服务项目支出。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19.医疗卫生与计划生育支出（类）其他医疗卫生与计划生育支出（款）其他医疗卫生与计划生育支出（项）:指反映其他医疗卫生与计划生育支出明细项以外其他用于医疗卫生与计划生育方面的支出。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20.住房保障支出（类）住房改革支出（款）住房公积金（项）:指反映行政事业单位按人力资源和社会保障部、财政部</w:t>
      </w:r>
      <w:bookmarkStart w:id="107" w:name="_Toc309665353_WPSOffice_Level2"/>
      <w:r>
        <w:rPr>
          <w:rFonts w:ascii="Times New Roman" w:eastAsia="仿宋_GB2312" w:cs="Times New Roman" w:hAnsi="Times New Roman"/>
          <w:color w:val="auto"/>
          <w:sz w:val="32"/>
          <w:szCs w:val="32"/>
        </w:rPr>
        <w:t>规定的基本工资和津贴</w:t>
      </w:r>
      <w:bookmarkEnd w:id="107"/>
      <w:r>
        <w:rPr>
          <w:rFonts w:ascii="Times New Roman" w:eastAsia="仿宋_GB2312" w:cs="Times New Roman" w:hAnsi="Times New Roman"/>
          <w:color w:val="auto"/>
          <w:sz w:val="32"/>
          <w:szCs w:val="32"/>
        </w:rPr>
        <w:t>补贴以及规定比例为职工缴纳的住房公积金。</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21.基本支出：指为保障机构正常运转、完成日常工作任务而发生的人员支出和公用支出。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22.项目支出：指在基本支出之外为完成特定行政任务和事业发展目标所发生的支出。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23.“三公”经费：指</w:t>
      </w:r>
      <w:r>
        <w:rPr>
          <w:rFonts w:ascii="Times New Roman" w:eastAsia="仿宋_GB2312" w:cs="Times New Roman" w:hAnsi="Times New Roman" w:hint="eastAsia"/>
          <w:color w:val="auto"/>
          <w:sz w:val="32"/>
          <w:szCs w:val="32"/>
          <w:lang w:eastAsia="zh-CN"/>
        </w:rPr>
        <w:t>单位</w:t>
      </w:r>
      <w:r>
        <w:rPr>
          <w:rFonts w:ascii="Times New Roman" w:eastAsia="仿宋_GB2312" w:cs="Times New Roman" w:hAnsi="Times New Roman"/>
          <w:color w:val="auto"/>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Times New Roman" w:eastAsia="仿宋_GB2312" w:cs="Times New Roman" w:hAnsi="Times New Roman"/>
          <w:b/>
          <w:bCs/>
          <w:sz w:val="32"/>
          <w:szCs w:val="32"/>
        </w:rPr>
      </w:pPr>
    </w:p>
    <w:p>
      <w:pPr>
        <w:spacing w:line="600" w:lineRule="exact"/>
        <w:jc w:val="center"/>
        <w:rPr>
          <w:rStyle w:val="1Char"/>
          <w:rFonts w:ascii="Times New Roman" w:eastAsia="黑体" w:cs="Times New Roman" w:hAnsi="Times New Roman"/>
          <w:b w:val="0"/>
        </w:rPr>
      </w:pPr>
      <w:bookmarkStart w:id="108" w:name="_Toc15377226"/>
      <w:r>
        <w:rPr>
          <w:rFonts w:ascii="Times New Roman" w:eastAsia="仿宋_GB2312" w:cs="Times New Roman" w:hAnsi="Times New Roman"/>
          <w:sz w:val="32"/>
          <w:szCs w:val="32"/>
        </w:rPr>
        <w:br w:type="page"/>
      </w:r>
      <w:bookmarkStart w:id="109" w:name="_Toc15396614"/>
      <w:bookmarkStart w:id="110" w:name="_Toc392477811_WPSOffice_Level1"/>
      <w:r>
        <w:rPr>
          <w:rFonts w:ascii="Times New Roman" w:eastAsia="黑体" w:cs="Times New Roman" w:hAnsi="Times New Roman"/>
          <w:sz w:val="44"/>
          <w:szCs w:val="44"/>
        </w:rPr>
        <w:t>第四部分  附件</w:t>
      </w:r>
      <w:bookmarkEnd w:id="109"/>
      <w:bookmarkEnd w:id="110"/>
    </w:p>
    <w:p>
      <w:pPr>
        <w:spacing w:line="572" w:lineRule="exact"/>
        <w:jc w:val="left"/>
        <w:outlineLvl w:val="0"/>
        <w:rPr>
          <w:rFonts w:ascii="Times New Roman" w:eastAsia="黑体" w:cs="Times New Roman" w:hAnsi="Times New Roman"/>
          <w:color w:val="FF0000"/>
          <w:sz w:val="32"/>
          <w:szCs w:val="32"/>
        </w:rPr>
      </w:pPr>
    </w:p>
    <w:p>
      <w:pPr>
        <w:pStyle w:val="23"/>
        <w:rPr>
          <w:rFonts w:ascii="Times New Roman" w:cs="Times New Roman" w:hAnsi="Times New Roman"/>
        </w:rPr>
      </w:pPr>
    </w:p>
    <w:p>
      <w:pPr>
        <w:spacing w:line="572" w:lineRule="exact"/>
        <w:jc w:val="left"/>
        <w:outlineLvl w:val="0"/>
        <w:rPr>
          <w:rFonts w:ascii="Times New Roman" w:eastAsia="黑体" w:cs="Times New Roman" w:hAnsi="Times New Roman"/>
          <w:sz w:val="44"/>
          <w:szCs w:val="44"/>
        </w:rPr>
      </w:pPr>
      <w:r>
        <w:rPr>
          <w:rFonts w:ascii="Times New Roman" w:eastAsia="黑体" w:cs="Times New Roman" w:hAnsi="Times New Roman"/>
          <w:sz w:val="32"/>
          <w:szCs w:val="32"/>
        </w:rPr>
        <w:t>附件1</w:t>
      </w:r>
    </w:p>
    <w:p>
      <w:pPr>
        <w:widowControl/>
        <w:spacing w:line="578" w:lineRule="exact"/>
        <w:contextualSpacing/>
        <w:jc w:val="center"/>
        <w:rPr>
          <w:rFonts w:ascii="Times New Roman" w:eastAsia="方正小标宋简体" w:cs="Times New Roman" w:hAnsi="Times New Roman"/>
          <w:bCs/>
          <w:sz w:val="44"/>
          <w:szCs w:val="44"/>
          <w:shd w:val="clear" w:color="auto" w:fill="FFFFFF"/>
        </w:rPr>
      </w:pPr>
    </w:p>
    <w:p>
      <w:pPr>
        <w:widowControl/>
        <w:spacing w:line="0" w:lineRule="atLeast"/>
        <w:contextualSpacing/>
        <w:jc w:val="center"/>
        <w:rPr>
          <w:rFonts w:ascii="Times New Roman" w:eastAsia="方正小标宋简体" w:cs="Times New Roman" w:hAnsi="Times New Roman"/>
          <w:bCs/>
          <w:sz w:val="44"/>
          <w:szCs w:val="44"/>
          <w:shd w:val="clear" w:color="auto" w:fill="FFFFFF"/>
        </w:rPr>
      </w:pPr>
      <w:bookmarkStart w:id="111" w:name="_Toc1867393408_WPSOffice_Level2"/>
      <w:r>
        <w:rPr>
          <w:rFonts w:ascii="Times New Roman" w:eastAsia="方正小标宋简体" w:cs="Times New Roman" w:hAnsi="Times New Roman"/>
          <w:bCs/>
          <w:sz w:val="44"/>
          <w:szCs w:val="44"/>
          <w:shd w:val="clear" w:color="auto" w:fill="FFFFFF"/>
        </w:rPr>
        <w:t>攀枝花市司法局</w:t>
      </w:r>
      <w:bookmarkEnd w:id="111"/>
    </w:p>
    <w:p>
      <w:pPr>
        <w:widowControl/>
        <w:spacing w:line="0" w:lineRule="atLeast"/>
        <w:contextualSpacing/>
        <w:jc w:val="center"/>
        <w:rPr>
          <w:rFonts w:ascii="Times New Roman" w:eastAsia="方正小标宋简体" w:cs="Times New Roman" w:hAnsi="Times New Roman"/>
          <w:bCs/>
          <w:sz w:val="44"/>
          <w:szCs w:val="44"/>
          <w:shd w:val="clear" w:color="auto" w:fill="FFFFFF"/>
        </w:rPr>
      </w:pPr>
      <w:bookmarkStart w:id="112" w:name="_Toc957908763_WPSOffice_Level2"/>
      <w:r>
        <w:rPr>
          <w:rFonts w:ascii="Times New Roman" w:eastAsia="方正小标宋简体" w:cs="Times New Roman" w:hAnsi="Times New Roman"/>
          <w:bCs/>
          <w:sz w:val="44"/>
          <w:szCs w:val="44"/>
          <w:shd w:val="clear" w:color="auto" w:fill="FFFFFF"/>
        </w:rPr>
        <w:t>202</w:t>
      </w:r>
      <w:r>
        <w:rPr>
          <w:rFonts w:ascii="Times New Roman" w:eastAsia="方正小标宋简体" w:cs="Times New Roman" w:hAnsi="Times New Roman"/>
          <w:bCs/>
          <w:sz w:val="44"/>
          <w:szCs w:val="44"/>
          <w:shd w:val="clear" w:color="auto" w:fill="FFFFFF"/>
          <w:lang w:val="en-US" w:eastAsia="zh-CN"/>
        </w:rPr>
        <w:t>5</w:t>
      </w:r>
      <w:r>
        <w:rPr>
          <w:rFonts w:ascii="Times New Roman" w:eastAsia="方正小标宋简体" w:cs="Times New Roman" w:hAnsi="Times New Roman"/>
          <w:bCs/>
          <w:sz w:val="44"/>
          <w:szCs w:val="44"/>
          <w:shd w:val="clear" w:color="auto" w:fill="FFFFFF"/>
        </w:rPr>
        <w:t>年度</w:t>
      </w:r>
      <w:r>
        <w:rPr>
          <w:rFonts w:eastAsia="方正小标宋简体" w:cs="Times New Roman" w:hint="eastAsia"/>
          <w:bCs/>
          <w:sz w:val="44"/>
          <w:szCs w:val="44"/>
          <w:shd w:val="clear" w:color="auto" w:fill="FFFFFF"/>
          <w:lang w:eastAsia="zh-CN"/>
        </w:rPr>
        <w:t>单位</w:t>
      </w:r>
      <w:r>
        <w:rPr>
          <w:rFonts w:ascii="Times New Roman" w:eastAsia="方正小标宋简体" w:cs="Times New Roman" w:hAnsi="Times New Roman"/>
          <w:bCs/>
          <w:sz w:val="44"/>
          <w:szCs w:val="44"/>
          <w:shd w:val="clear" w:color="auto" w:fill="FFFFFF"/>
        </w:rPr>
        <w:t>预算绩效自评报告</w:t>
      </w:r>
      <w:bookmarkEnd w:id="112"/>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p>
    <w:p>
      <w:pPr>
        <w:widowControl/>
        <w:adjustRightInd w:val="0"/>
        <w:snapToGrid w:val="0"/>
        <w:spacing w:line="360" w:lineRule="auto"/>
        <w:ind w:firstLineChars="200" w:firstLine="640"/>
        <w:contextualSpacing/>
        <w:jc w:val="left"/>
        <w:rPr>
          <w:rFonts w:ascii="Times New Roman" w:cs="Times New Roman" w:hAnsi="Times New Roman"/>
          <w:sz w:val="32"/>
          <w:szCs w:val="32"/>
        </w:rPr>
      </w:pPr>
      <w:bookmarkStart w:id="113" w:name="_Toc1787101707_WPSOffice_Level2"/>
      <w:r>
        <w:rPr>
          <w:rFonts w:ascii="Times New Roman" w:eastAsia="黑体" w:cs="Times New Roman" w:hAnsi="Times New Roman"/>
          <w:color w:val="000000"/>
          <w:kern w:val="0"/>
          <w:sz w:val="32"/>
          <w:szCs w:val="32"/>
          <w:shd w:val="clear" w:color="auto" w:fill="FFFFFF"/>
          <w:lang w:val="zh-CN"/>
        </w:rPr>
        <w:t>一、</w:t>
      </w:r>
      <w:r>
        <w:rPr>
          <w:rFonts w:eastAsia="黑体" w:cs="Times New Roman" w:hint="eastAsia"/>
          <w:color w:val="000000"/>
          <w:kern w:val="0"/>
          <w:sz w:val="32"/>
          <w:szCs w:val="32"/>
          <w:shd w:val="clear" w:color="auto" w:fill="FFFFFF"/>
          <w:lang w:val="zh-CN"/>
        </w:rPr>
        <w:t>单位</w:t>
      </w:r>
      <w:r>
        <w:rPr>
          <w:rFonts w:ascii="Times New Roman" w:eastAsia="黑体" w:cs="Times New Roman" w:hAnsi="Times New Roman"/>
          <w:color w:val="000000"/>
          <w:kern w:val="0"/>
          <w:sz w:val="32"/>
          <w:szCs w:val="32"/>
          <w:shd w:val="clear" w:color="auto" w:fill="FFFFFF"/>
          <w:lang w:val="zh-CN"/>
        </w:rPr>
        <w:t>基本情况</w:t>
      </w:r>
      <w:bookmarkEnd w:id="113"/>
    </w:p>
    <w:p>
      <w:pPr>
        <w:widowControl/>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（一）机构组成。</w:t>
      </w:r>
      <w:r>
        <w:rPr>
          <w:rFonts w:ascii="Times New Roman" w:eastAsia="仿宋_GB2312" w:cs="Times New Roman" w:hAnsi="Times New Roman"/>
          <w:color w:val="000000"/>
          <w:sz w:val="32"/>
          <w:szCs w:val="32"/>
          <w:lang w:val="zh-CN"/>
        </w:rPr>
        <w:t>攀枝花市司法局直属二级单位</w:t>
      </w:r>
      <w:r>
        <w:rPr>
          <w:rFonts w:ascii="Times New Roman" w:eastAsia="仿宋_GB2312" w:cs="Times New Roman" w:hAnsi="Times New Roman"/>
          <w:sz w:val="32"/>
          <w:szCs w:val="32"/>
          <w:lang w:val="zh-CN"/>
        </w:rPr>
        <w:t>3</w:t>
      </w:r>
      <w:r>
        <w:rPr>
          <w:rFonts w:ascii="Times New Roman" w:eastAsia="仿宋_GB2312" w:cs="Times New Roman" w:hAnsi="Times New Roman"/>
          <w:color w:val="000000"/>
          <w:sz w:val="32"/>
          <w:szCs w:val="32"/>
          <w:lang w:val="zh-CN"/>
        </w:rPr>
        <w:t>个，其中参照公务员法管理的事业单位</w:t>
      </w:r>
      <w:r>
        <w:rPr>
          <w:rFonts w:ascii="Times New Roman" w:eastAsia="仿宋_GB2312" w:cs="Times New Roman" w:hAnsi="Times New Roman"/>
          <w:sz w:val="32"/>
          <w:szCs w:val="32"/>
          <w:lang w:val="zh-CN"/>
        </w:rPr>
        <w:t>2</w:t>
      </w:r>
      <w:r>
        <w:rPr>
          <w:rFonts w:ascii="Times New Roman" w:eastAsia="仿宋_GB2312" w:cs="Times New Roman" w:hAnsi="Times New Roman"/>
          <w:color w:val="000000"/>
          <w:sz w:val="32"/>
          <w:szCs w:val="32"/>
          <w:lang w:val="zh-CN"/>
        </w:rPr>
        <w:t>个（攀枝花仲裁委员会秘书处、攀枝花市法律援助中心），其他事业单位</w:t>
      </w:r>
      <w:r>
        <w:rPr>
          <w:rFonts w:ascii="Times New Roman" w:eastAsia="仿宋_GB2312" w:cs="Times New Roman" w:hAnsi="Times New Roman"/>
          <w:sz w:val="32"/>
          <w:szCs w:val="32"/>
          <w:lang w:val="zh-CN"/>
        </w:rPr>
        <w:t>1</w:t>
      </w:r>
      <w:r>
        <w:rPr>
          <w:rFonts w:ascii="Times New Roman" w:eastAsia="仿宋_GB2312" w:cs="Times New Roman" w:hAnsi="Times New Roman"/>
          <w:color w:val="000000"/>
          <w:sz w:val="32"/>
          <w:szCs w:val="32"/>
          <w:lang w:val="zh-CN"/>
        </w:rPr>
        <w:t>个（四川省攀枝花市攀枝花公证处），全部纳入攀枝花市司法局</w:t>
      </w:r>
      <w:r>
        <w:rPr>
          <w:rFonts w:ascii="Times New Roman" w:eastAsia="仿宋_GB2312" w:cs="Times New Roman" w:hAnsi="Times New Roman"/>
          <w:sz w:val="32"/>
          <w:szCs w:val="32"/>
          <w:lang w:val="zh-CN"/>
        </w:rPr>
        <w:t>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lang w:val="zh-CN"/>
        </w:rPr>
        <w:t>年</w:t>
      </w:r>
      <w:r>
        <w:rPr>
          <w:rFonts w:ascii="Times New Roman" w:eastAsia="仿宋_GB2312" w:cs="Times New Roman" w:hAnsi="Times New Roman"/>
          <w:color w:val="000000"/>
          <w:sz w:val="32"/>
          <w:szCs w:val="32"/>
          <w:lang w:val="zh-CN"/>
        </w:rPr>
        <w:t>度</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预算绩效自评范围，无独立核算的二级预算单位。</w:t>
      </w:r>
    </w:p>
    <w:p>
      <w:pPr>
        <w:widowControl/>
        <w:adjustRightInd w:val="0"/>
        <w:snapToGrid w:val="0"/>
        <w:spacing w:line="360" w:lineRule="auto"/>
        <w:ind w:firstLineChars="200" w:firstLine="640"/>
        <w:contextualSpacing/>
        <w:rPr>
          <w:rFonts w:ascii="Times New Roman" w:eastAsia="仿宋_GB2312" w:cs="Times New Roman" w:hAnsi="Times New Roman"/>
          <w:color w:val="000000"/>
          <w:sz w:val="32"/>
          <w:szCs w:val="32"/>
          <w:lang w:val="zh-CN"/>
        </w:rPr>
      </w:pPr>
      <w:r>
        <w:rPr>
          <w:rFonts w:ascii="Times New Roman" w:eastAsia="楷体_GB2312" w:cs="Times New Roman" w:hAnsi="Times New Roman"/>
          <w:b/>
          <w:bCs/>
          <w:color w:val="000000"/>
          <w:kern w:val="0"/>
          <w:sz w:val="32"/>
          <w:szCs w:val="32"/>
          <w:shd w:val="clear" w:color="auto" w:fill="FFFFFF"/>
          <w:lang w:val="zh-CN"/>
        </w:rPr>
        <w:t>（二）机构职能。</w:t>
      </w:r>
      <w:r>
        <w:rPr>
          <w:rFonts w:ascii="Times New Roman" w:eastAsia="仿宋_GB2312" w:cs="Times New Roman" w:hAnsi="Times New Roman"/>
          <w:color w:val="000000"/>
          <w:sz w:val="32"/>
          <w:szCs w:val="32"/>
          <w:lang w:val="zh-CN"/>
        </w:rPr>
        <w:t>攀枝花市司法局系纳入公务员编制的机关法人。主要职责包括：承担全面依法治国、依法治省、依法治市重大问题的政策研究，协调有关方面提出全面依法治市规划建议，负责有关重大决策部署督察工作。承担统筹规划立法工作的责任。协调有关方面提出立法规划和年度立法工作计划的建议，负责跟踪了解各</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对立法工作计划的落实情况，加强组织协调和督促指导，研究提出立法与改革决策相衔接的意见、措施。负责面向社会征集地方性法规、规章制定项目建议。负责起草或者组织起草地方性法规、市政府规章起草案。负责市政府有关</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报送市政府的地方性法规、规章草案的审查工作。负责立法协调。承担市政府规章的解释、立法后评估工作。负责协调各县（区）、各</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实施法律、法规、规章中的有关争议和问题。承办市政府规章的清理、编纂、翻译工作、承办市政府规章报送备案工作。负责市政府规范性文件、重大行政决策发布前的合法性审查。承办市政府规范性文件的报送备案工作。负责各县（区）政府和市政府各</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规范性文件报送市政府的备案审查工作。组织开展规范性文件清理。承担统筹推进法治政府建设的责任。指导监督市政府各</w:t>
      </w:r>
      <w:r>
        <w:rPr>
          <w:rFonts w:eastAsia="仿宋_GB2312" w:cs="Times New Roman" w:hint="eastAsia"/>
          <w:color w:val="000000"/>
          <w:sz w:val="32"/>
          <w:szCs w:val="32"/>
          <w:lang w:val="zh-CN"/>
        </w:rPr>
        <w:t>单位</w:t>
      </w:r>
      <w:r>
        <w:rPr>
          <w:rFonts w:ascii="Times New Roman" w:eastAsia="仿宋_GB2312" w:cs="Times New Roman" w:hAnsi="Times New Roman"/>
          <w:color w:val="000000"/>
          <w:sz w:val="32"/>
          <w:szCs w:val="32"/>
          <w:lang w:val="zh-CN"/>
        </w:rPr>
        <w:t>、市以下各级政府依法行政工作。负责综合协调、监督检查行政执法，承担推进行政执法体制改革有关工作，推进严格规范公正文明执法。指导监督全市行政复议、行政应诉和行政赔偿工作，承办向市政府申请的行政复议、行政赔偿案件，代理市政府行政应诉案件。承担统筹规划法治社会建设的责任。负责拟定法治宣传教育规划，组织实施普法宣传工作，组织对外法治宣传。推动人民参与和促进法治建设。指导依法治理和法治创建工作。指导调解工作。负责并指导人民监督员的选任管理工作。指导人民陪审员选任工作。指导监督司法所建设和管理工作。负责职责范围内的安全生产工作。指导管理全市社区矫正工作。指导刑满释放人员帮教安置工作。负责全市司法行政戒毒管理工作。指导市强制隔离戒毒所党的建设、党风廉政建设和领导班子建设。指导监督市强制隔离戒毒所强制隔离戒毒执行和戒毒康复工作。对社区戒毒和社区康复工作提供支持和协助。负责拟定全市公共法律服务体系建设规划并指导实施，统筹和布局全市城乡、区域法律服务资源。指导监督律师、法律援助、司法鉴定、公证、仲裁和基层法律服务管理工作。负责全市国家统一法律职业资格考试的组织实施工作。负责全市国家统一法律职业资格管理工作。负责组织和实施法律职业人员入职前培训工作。负责监督管理本系统枪支、弹药、服装和警车等警用物资装备。指导监督本系统财务、装备、设施、场所等保障工作。指导监督所属事业单位的计划财务工作。负责所属事业单位内部审计工作。规划、协调、指导法治人才队伍建设相关工作，指导监督本系统队伍建设。负责本系统人民警察警务管理和警务督察工作。协调县（区）管理司法局领导干部。负责并指导本系统行政审批工作。负责全市外来企业投诉处理和民营企业法律服务工作。完成市委、市政府交办的其他任务。</w:t>
      </w:r>
    </w:p>
    <w:p>
      <w:pPr>
        <w:spacing w:line="360" w:lineRule="auto"/>
        <w:ind w:firstLineChars="200" w:firstLine="640"/>
        <w:rPr>
          <w:rFonts w:ascii="Times New Roman" w:eastAsia="仿宋_GB2312" w:cs="Times New Roman" w:hAnsi="Times New Roman"/>
          <w:color w:val="000000"/>
          <w:sz w:val="32"/>
          <w:szCs w:val="32"/>
          <w:lang w:val="zh-CN"/>
        </w:rPr>
      </w:pPr>
      <w:r>
        <w:rPr>
          <w:rFonts w:ascii="Times New Roman" w:eastAsia="楷体_GB2312" w:cs="Times New Roman" w:hAnsi="Times New Roman"/>
          <w:b/>
          <w:bCs/>
          <w:color w:val="000000"/>
          <w:kern w:val="0"/>
          <w:sz w:val="32"/>
          <w:szCs w:val="32"/>
          <w:shd w:val="clear" w:color="auto" w:fill="FFFFFF"/>
          <w:lang w:val="zh-CN"/>
        </w:rPr>
        <w:t>（三）人员概况。</w:t>
      </w:r>
      <w:r>
        <w:rPr>
          <w:rFonts w:ascii="Times New Roman" w:eastAsia="仿宋_GB2312" w:cs="Times New Roman" w:hAnsi="Times New Roman"/>
          <w:color w:val="000000"/>
          <w:sz w:val="32"/>
          <w:szCs w:val="32"/>
          <w:lang w:val="zh-CN"/>
        </w:rPr>
        <w:t>截至202</w:t>
      </w:r>
      <w:r>
        <w:rPr>
          <w:rFonts w:ascii="Times New Roman" w:eastAsia="仿宋_GB2312" w:cs="Times New Roman" w:hAnsi="Times New Roman"/>
          <w:color w:val="000000"/>
          <w:sz w:val="32"/>
          <w:szCs w:val="32"/>
          <w:lang w:val="en-US" w:eastAsia="zh-CN"/>
        </w:rPr>
        <w:t>5</w:t>
      </w:r>
      <w:r>
        <w:rPr>
          <w:rFonts w:ascii="Times New Roman" w:eastAsia="仿宋_GB2312" w:cs="Times New Roman" w:hAnsi="Times New Roman"/>
          <w:color w:val="000000"/>
          <w:sz w:val="32"/>
          <w:szCs w:val="32"/>
          <w:lang w:val="zh-CN"/>
        </w:rPr>
        <w:t>年末，攀枝花市司法局及直属单位</w:t>
      </w:r>
      <w:r>
        <w:rPr>
          <w:rFonts w:ascii="Times New Roman" w:eastAsia="仿宋_GB2312" w:cs="Times New Roman" w:hAnsi="Times New Roman"/>
          <w:color w:val="000000"/>
          <w:sz w:val="32"/>
          <w:szCs w:val="32"/>
          <w:lang w:val="zh-CN" w:eastAsia="zh-CN"/>
        </w:rPr>
        <w:t>人员编制</w:t>
      </w:r>
      <w:r>
        <w:rPr>
          <w:rFonts w:ascii="Times New Roman" w:eastAsia="仿宋_GB2312" w:cs="Times New Roman" w:hAnsi="Times New Roman"/>
          <w:color w:val="000000"/>
          <w:sz w:val="32"/>
          <w:szCs w:val="32"/>
          <w:lang w:val="en-US" w:eastAsia="zh-CN"/>
        </w:rPr>
        <w:t>79人，其中公务员（</w:t>
      </w:r>
      <w:r>
        <w:rPr>
          <w:rFonts w:ascii="Times New Roman" w:eastAsia="仿宋_GB2312" w:cs="Times New Roman" w:hAnsi="Times New Roman"/>
          <w:color w:val="000000"/>
          <w:sz w:val="32"/>
          <w:szCs w:val="32"/>
          <w:lang w:val="zh-CN"/>
        </w:rPr>
        <w:t>政法专编</w:t>
      </w:r>
      <w:r>
        <w:rPr>
          <w:rFonts w:ascii="Times New Roman" w:eastAsia="仿宋_GB2312" w:cs="Times New Roman" w:hAnsi="Times New Roman"/>
          <w:color w:val="000000"/>
          <w:sz w:val="32"/>
          <w:szCs w:val="32"/>
          <w:lang w:val="en-US" w:eastAsia="zh-CN"/>
        </w:rPr>
        <w:t>）</w:t>
      </w:r>
      <w:r>
        <w:rPr>
          <w:rFonts w:ascii="Times New Roman" w:eastAsia="仿宋_GB2312" w:cs="Times New Roman" w:hAnsi="Times New Roman"/>
          <w:color w:val="000000"/>
          <w:sz w:val="32"/>
          <w:szCs w:val="32"/>
          <w:lang w:val="zh-CN"/>
        </w:rPr>
        <w:t>56人、机关工勤编制4人、参照公务员管理编制14人、事业编制5人。年末实有在职人数70人，其中公务员5</w:t>
      </w:r>
      <w:r>
        <w:rPr>
          <w:rFonts w:ascii="Times New Roman" w:eastAsia="仿宋_GB2312" w:cs="Times New Roman" w:hAnsi="Times New Roman"/>
          <w:color w:val="000000"/>
          <w:sz w:val="32"/>
          <w:szCs w:val="32"/>
          <w:lang w:val="en-US" w:eastAsia="zh-CN"/>
        </w:rPr>
        <w:t>0</w:t>
      </w:r>
      <w:r>
        <w:rPr>
          <w:rFonts w:ascii="Times New Roman" w:eastAsia="仿宋_GB2312" w:cs="Times New Roman" w:hAnsi="Times New Roman"/>
          <w:color w:val="000000"/>
          <w:sz w:val="32"/>
          <w:szCs w:val="32"/>
          <w:lang w:val="zh-CN"/>
        </w:rPr>
        <w:t>人、参公1</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lang w:val="zh-CN"/>
        </w:rPr>
        <w:t>人、事业4人、机关工勤</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lang w:val="zh-CN"/>
        </w:rPr>
        <w:t>人。退休人员</w:t>
      </w:r>
      <w:r>
        <w:rPr>
          <w:rFonts w:ascii="Times New Roman" w:eastAsia="仿宋_GB2312" w:cs="Times New Roman" w:hAnsi="Times New Roman"/>
          <w:color w:val="000000"/>
          <w:sz w:val="32"/>
          <w:szCs w:val="32"/>
          <w:lang w:val="en-US" w:eastAsia="zh-CN"/>
        </w:rPr>
        <w:t>61</w:t>
      </w:r>
      <w:r>
        <w:rPr>
          <w:rFonts w:ascii="Times New Roman" w:eastAsia="仿宋_GB2312" w:cs="Times New Roman" w:hAnsi="Times New Roman"/>
          <w:color w:val="000000"/>
          <w:sz w:val="32"/>
          <w:szCs w:val="32"/>
          <w:lang w:val="zh-CN"/>
        </w:rPr>
        <w:t>人。</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4" w:name="_Toc684751480_WPSOffice_Level2"/>
      <w:r>
        <w:rPr>
          <w:rFonts w:ascii="Times New Roman" w:eastAsia="黑体" w:cs="Times New Roman" w:hAnsi="Times New Roman"/>
          <w:color w:val="000000"/>
          <w:kern w:val="0"/>
          <w:sz w:val="32"/>
          <w:szCs w:val="32"/>
          <w:shd w:val="clear" w:color="auto" w:fill="FFFFFF"/>
        </w:rPr>
        <w:t>二、</w:t>
      </w:r>
      <w:r>
        <w:rPr>
          <w:rFonts w:eastAsia="黑体" w:cs="Times New Roman" w:hint="eastAsia"/>
          <w:color w:val="000000"/>
          <w:kern w:val="0"/>
          <w:sz w:val="32"/>
          <w:szCs w:val="32"/>
          <w:shd w:val="clear" w:color="auto" w:fill="FFFFFF"/>
          <w:lang w:eastAsia="zh-CN"/>
        </w:rPr>
        <w:t>单位</w:t>
      </w:r>
      <w:r>
        <w:rPr>
          <w:rFonts w:ascii="Times New Roman" w:eastAsia="黑体" w:cs="Times New Roman" w:hAnsi="Times New Roman"/>
          <w:color w:val="000000"/>
          <w:kern w:val="0"/>
          <w:sz w:val="32"/>
          <w:szCs w:val="32"/>
          <w:shd w:val="clear" w:color="auto" w:fill="FFFFFF"/>
        </w:rPr>
        <w:t>资金收支情况</w:t>
      </w:r>
      <w:bookmarkEnd w:id="114"/>
    </w:p>
    <w:p>
      <w:pPr>
        <w:widowControl/>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rPr>
      </w:pPr>
      <w:r>
        <w:rPr>
          <w:rFonts w:ascii="Times New Roman" w:eastAsia="楷体_GB2312" w:cs="Times New Roman" w:hAnsi="Times New Roman"/>
          <w:b/>
          <w:bCs/>
          <w:color w:val="000000"/>
          <w:kern w:val="0"/>
          <w:sz w:val="32"/>
          <w:szCs w:val="32"/>
          <w:shd w:val="clear" w:color="auto" w:fill="FFFFFF"/>
          <w:lang w:val="zh-CN"/>
        </w:rPr>
        <w:t>（一）收入情况。</w:t>
      </w:r>
      <w:r>
        <w:rPr>
          <w:rFonts w:ascii="Times New Roman" w:eastAsia="仿宋_GB2312" w:cs="Times New Roman" w:hAnsi="Times New Roman"/>
          <w:sz w:val="32"/>
          <w:szCs w:val="32"/>
        </w:rPr>
        <w:t>攀</w:t>
      </w:r>
      <w:r>
        <w:rPr>
          <w:rFonts w:ascii="Times New Roman" w:eastAsia="仿宋_GB2312" w:cs="Times New Roman" w:hAnsi="Times New Roman"/>
          <w:color w:val="000000"/>
          <w:sz w:val="32"/>
          <w:szCs w:val="32"/>
          <w:lang w:val="zh-CN"/>
        </w:rPr>
        <w:t>枝花市司法局202</w:t>
      </w:r>
      <w:r>
        <w:rPr>
          <w:rFonts w:ascii="Times New Roman" w:eastAsia="仿宋_GB2312" w:cs="Times New Roman" w:hAnsi="Times New Roman"/>
          <w:color w:val="000000"/>
          <w:sz w:val="32"/>
          <w:szCs w:val="32"/>
          <w:lang w:val="en-US" w:eastAsia="zh-CN"/>
        </w:rPr>
        <w:t>5</w:t>
      </w:r>
      <w:r>
        <w:rPr>
          <w:rFonts w:ascii="Times New Roman" w:eastAsia="仿宋_GB2312" w:cs="Times New Roman" w:hAnsi="Times New Roman"/>
          <w:color w:val="000000"/>
          <w:sz w:val="32"/>
          <w:szCs w:val="32"/>
          <w:lang w:val="zh-CN"/>
        </w:rPr>
        <w:t>年年初预算收入20</w:t>
      </w:r>
      <w:r>
        <w:rPr>
          <w:rFonts w:ascii="Times New Roman" w:eastAsia="仿宋_GB2312" w:cs="Times New Roman" w:hAnsi="Times New Roman"/>
          <w:color w:val="000000"/>
          <w:sz w:val="32"/>
          <w:szCs w:val="32"/>
          <w:lang w:val="en-US" w:eastAsia="zh-CN"/>
        </w:rPr>
        <w:t>58.21</w:t>
      </w:r>
      <w:r>
        <w:rPr>
          <w:rFonts w:ascii="Times New Roman" w:eastAsia="仿宋_GB2312" w:cs="Times New Roman" w:hAnsi="Times New Roman"/>
          <w:color w:val="000000"/>
          <w:sz w:val="32"/>
          <w:szCs w:val="32"/>
          <w:lang w:val="zh-CN"/>
        </w:rPr>
        <w:t>万元，均为一般公共预</w:t>
      </w:r>
      <w:r>
        <w:rPr>
          <w:rFonts w:ascii="Times New Roman" w:eastAsia="仿宋_GB2312" w:cs="Times New Roman" w:hAnsi="Times New Roman"/>
          <w:sz w:val="32"/>
          <w:szCs w:val="32"/>
        </w:rPr>
        <w:t>算财政拨款收入。202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年末决算收入22</w:t>
      </w:r>
      <w:r>
        <w:rPr>
          <w:rFonts w:ascii="Times New Roman" w:eastAsia="仿宋_GB2312" w:cs="Times New Roman" w:hAnsi="Times New Roman"/>
          <w:sz w:val="32"/>
          <w:szCs w:val="32"/>
          <w:lang w:val="en-US" w:eastAsia="zh-CN"/>
        </w:rPr>
        <w:t>88.97</w:t>
      </w:r>
      <w:r>
        <w:rPr>
          <w:rFonts w:ascii="Times New Roman" w:eastAsia="仿宋_GB2312" w:cs="Times New Roman" w:hAnsi="Times New Roman"/>
          <w:sz w:val="32"/>
          <w:szCs w:val="32"/>
        </w:rPr>
        <w:t>万元，其中一般公共预算财政拨款22</w:t>
      </w:r>
      <w:r>
        <w:rPr>
          <w:rFonts w:ascii="Times New Roman" w:eastAsia="仿宋_GB2312" w:cs="Times New Roman" w:hAnsi="Times New Roman"/>
          <w:sz w:val="32"/>
          <w:szCs w:val="32"/>
          <w:lang w:val="en-US" w:eastAsia="zh-CN"/>
        </w:rPr>
        <w:t>49.58</w:t>
      </w:r>
      <w:r>
        <w:rPr>
          <w:rFonts w:ascii="Times New Roman" w:eastAsia="仿宋_GB2312" w:cs="Times New Roman" w:hAnsi="Times New Roman"/>
          <w:sz w:val="32"/>
          <w:szCs w:val="32"/>
        </w:rPr>
        <w:t>万元，其他收入39</w:t>
      </w:r>
      <w:r>
        <w:rPr>
          <w:rFonts w:ascii="Times New Roman" w:eastAsia="仿宋_GB2312" w:cs="Times New Roman" w:hAnsi="Times New Roman"/>
          <w:sz w:val="32"/>
          <w:szCs w:val="32"/>
          <w:lang w:val="en-US" w:eastAsia="zh-CN"/>
        </w:rPr>
        <w:t>.39</w:t>
      </w:r>
      <w:r>
        <w:rPr>
          <w:rFonts w:ascii="Times New Roman" w:eastAsia="仿宋_GB2312" w:cs="Times New Roman" w:hAnsi="Times New Roman"/>
          <w:sz w:val="32"/>
          <w:szCs w:val="32"/>
        </w:rPr>
        <w:t>万元（非同级财政拨款收入）。</w:t>
      </w:r>
    </w:p>
    <w:p>
      <w:pPr>
        <w:widowControl/>
        <w:adjustRightInd w:val="0"/>
        <w:snapToGrid w:val="0"/>
        <w:spacing w:line="360" w:lineRule="auto"/>
        <w:ind w:firstLineChars="200" w:firstLine="640"/>
        <w:contextualSpacing/>
        <w:jc w:val="left"/>
        <w:rPr>
          <w:rFonts w:ascii="Times New Roman" w:eastAsia="仿宋_GB2312" w:cs="Times New Roman" w:hAnsi="Times New Roman"/>
          <w:sz w:val="32"/>
          <w:szCs w:val="32"/>
          <w:lang w:val="zh-CN"/>
        </w:rPr>
      </w:pPr>
      <w:r>
        <w:rPr>
          <w:rFonts w:ascii="Times New Roman" w:eastAsia="楷体_GB2312" w:cs="Times New Roman" w:hAnsi="Times New Roman"/>
          <w:b/>
          <w:bCs/>
          <w:color w:val="000000"/>
          <w:kern w:val="0"/>
          <w:sz w:val="32"/>
          <w:szCs w:val="32"/>
          <w:shd w:val="clear" w:color="auto" w:fill="FFFFFF"/>
          <w:lang w:val="zh-CN"/>
        </w:rPr>
        <w:t>（二）支出情况。</w:t>
      </w:r>
      <w:r>
        <w:rPr>
          <w:rFonts w:ascii="Times New Roman" w:eastAsia="仿宋_GB2312" w:cs="Times New Roman" w:hAnsi="Times New Roman"/>
          <w:sz w:val="32"/>
          <w:szCs w:val="32"/>
        </w:rPr>
        <w:t>攀枝花市司法局202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年决算支出227</w:t>
      </w:r>
      <w:r>
        <w:rPr>
          <w:rFonts w:ascii="Times New Roman" w:eastAsia="仿宋_GB2312" w:cs="Times New Roman" w:hAnsi="Times New Roman"/>
          <w:sz w:val="32"/>
          <w:szCs w:val="32"/>
          <w:lang w:val="en-US" w:eastAsia="zh-CN"/>
        </w:rPr>
        <w:t>4.62</w:t>
      </w:r>
      <w:r>
        <w:rPr>
          <w:rFonts w:ascii="Times New Roman" w:eastAsia="仿宋_GB2312" w:cs="Times New Roman" w:hAnsi="Times New Roman"/>
          <w:sz w:val="32"/>
          <w:szCs w:val="32"/>
        </w:rPr>
        <w:t>万元。其中：一般公共服务支出</w:t>
      </w:r>
      <w:r>
        <w:rPr>
          <w:rFonts w:ascii="Times New Roman" w:eastAsia="仿宋_GB2312" w:cs="Times New Roman" w:hAnsi="Times New Roman"/>
          <w:sz w:val="32"/>
          <w:szCs w:val="32"/>
          <w:lang w:val="en-US" w:eastAsia="zh-CN"/>
        </w:rPr>
        <w:t>8.05</w:t>
      </w:r>
      <w:r>
        <w:rPr>
          <w:rFonts w:ascii="Times New Roman" w:eastAsia="仿宋_GB2312" w:cs="Times New Roman" w:hAnsi="Times New Roman"/>
          <w:sz w:val="32"/>
          <w:szCs w:val="32"/>
        </w:rPr>
        <w:t>万元，用于市级挂职干部补助；公共安全支出</w:t>
      </w:r>
      <w:r>
        <w:rPr>
          <w:rFonts w:ascii="Times New Roman" w:eastAsia="仿宋_GB2312" w:cs="Times New Roman" w:hAnsi="Times New Roman"/>
          <w:sz w:val="32"/>
          <w:szCs w:val="32"/>
          <w:lang w:val="en-US" w:eastAsia="zh-CN"/>
        </w:rPr>
        <w:t>1684.29</w:t>
      </w:r>
      <w:r>
        <w:rPr>
          <w:rFonts w:ascii="Times New Roman" w:eastAsia="仿宋_GB2312" w:cs="Times New Roman" w:hAnsi="Times New Roman"/>
          <w:sz w:val="32"/>
          <w:szCs w:val="32"/>
        </w:rPr>
        <w:t>万元，包含行政运行和事业运行，主要用于在职人员劳务工资和日常运转公用经费，以及司法业务项目经费；社保保障和就业支出</w:t>
      </w:r>
      <w:r>
        <w:rPr>
          <w:rFonts w:ascii="Times New Roman" w:eastAsia="仿宋_GB2312" w:cs="Times New Roman" w:hAnsi="Times New Roman"/>
          <w:sz w:val="32"/>
          <w:szCs w:val="32"/>
          <w:lang w:val="en-US" w:eastAsia="zh-CN"/>
        </w:rPr>
        <w:t>358.38</w:t>
      </w:r>
      <w:r>
        <w:rPr>
          <w:rFonts w:ascii="Times New Roman" w:eastAsia="仿宋_GB2312" w:cs="Times New Roman" w:hAnsi="Times New Roman"/>
          <w:sz w:val="32"/>
          <w:szCs w:val="32"/>
        </w:rPr>
        <w:t>万元，主要是在职人员社保缴费；卫生健康支出9</w:t>
      </w:r>
      <w:r>
        <w:rPr>
          <w:rFonts w:ascii="Times New Roman" w:eastAsia="仿宋_GB2312" w:cs="Times New Roman" w:hAnsi="Times New Roman"/>
          <w:sz w:val="32"/>
          <w:szCs w:val="32"/>
          <w:lang w:val="en-US" w:eastAsia="zh-CN"/>
        </w:rPr>
        <w:t>6.29</w:t>
      </w:r>
      <w:r>
        <w:rPr>
          <w:rFonts w:ascii="Times New Roman" w:eastAsia="仿宋_GB2312" w:cs="Times New Roman" w:hAnsi="Times New Roman"/>
          <w:sz w:val="32"/>
          <w:szCs w:val="32"/>
        </w:rPr>
        <w:t>万元，主要支付在职人员医疗相关费用；住房保障支出12</w:t>
      </w:r>
      <w:r>
        <w:rPr>
          <w:rFonts w:ascii="Times New Roman" w:eastAsia="仿宋_GB2312" w:cs="Times New Roman" w:hAnsi="Times New Roman"/>
          <w:sz w:val="32"/>
          <w:szCs w:val="32"/>
          <w:lang w:val="en-US" w:eastAsia="zh-CN"/>
        </w:rPr>
        <w:t>7.62</w:t>
      </w:r>
      <w:r>
        <w:rPr>
          <w:rFonts w:ascii="Times New Roman" w:eastAsia="仿宋_GB2312" w:cs="Times New Roman" w:hAnsi="Times New Roman"/>
          <w:sz w:val="32"/>
          <w:szCs w:val="32"/>
        </w:rPr>
        <w:t>万元，用于支付在职人员住房公积金单位部分。</w:t>
      </w:r>
    </w:p>
    <w:p>
      <w:pPr>
        <w:widowControl/>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（三）</w:t>
      </w:r>
      <w:r>
        <w:rPr>
          <w:rFonts w:ascii="Times New Roman" w:eastAsia="楷体_GB2312" w:cs="Times New Roman" w:hAnsi="Times New Roman"/>
          <w:b/>
          <w:sz w:val="32"/>
          <w:szCs w:val="32"/>
        </w:rPr>
        <w:t>结余分配和结转结余情况。</w:t>
      </w:r>
      <w:r>
        <w:rPr>
          <w:rFonts w:ascii="Times New Roman" w:eastAsia="仿宋_GB2312" w:cs="Times New Roman" w:hAnsi="Times New Roman"/>
          <w:sz w:val="32"/>
          <w:szCs w:val="32"/>
        </w:rPr>
        <w:t>攀枝花市司法局202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年末财政拨款无结转和结余。非财政拨款项目结转</w:t>
      </w:r>
      <w:r>
        <w:rPr>
          <w:rFonts w:ascii="Times New Roman" w:eastAsia="仿宋_GB2312" w:cs="Times New Roman" w:hAnsi="Times New Roman"/>
          <w:sz w:val="32"/>
          <w:szCs w:val="32"/>
          <w:lang w:val="en-US" w:eastAsia="zh-CN"/>
        </w:rPr>
        <w:t>59.36</w:t>
      </w:r>
      <w:r>
        <w:rPr>
          <w:rFonts w:ascii="Times New Roman" w:eastAsia="仿宋_GB2312" w:cs="Times New Roman" w:hAnsi="Times New Roman"/>
          <w:sz w:val="32"/>
          <w:szCs w:val="32"/>
        </w:rPr>
        <w:t>万元，全部为县区医调委工作经费。该项目经费为人民调解工作人员日常劳务工资、社保及公用支出，按照累积循环逐步消化。</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5" w:name="_Toc419347518_WPSOffice_Level2"/>
      <w:r>
        <w:rPr>
          <w:rFonts w:ascii="Times New Roman" w:eastAsia="黑体" w:cs="Times New Roman" w:hAnsi="Times New Roman"/>
          <w:color w:val="000000"/>
          <w:kern w:val="0"/>
          <w:sz w:val="32"/>
          <w:szCs w:val="32"/>
          <w:shd w:val="clear" w:color="auto" w:fill="FFFFFF"/>
        </w:rPr>
        <w:t>三、</w:t>
      </w:r>
      <w:r>
        <w:rPr>
          <w:rFonts w:eastAsia="黑体" w:cs="Times New Roman" w:hint="eastAsia"/>
          <w:color w:val="000000"/>
          <w:kern w:val="0"/>
          <w:sz w:val="32"/>
          <w:szCs w:val="32"/>
          <w:shd w:val="clear" w:color="auto" w:fill="FFFFFF"/>
          <w:lang w:eastAsia="zh-CN"/>
        </w:rPr>
        <w:t>单位</w:t>
      </w:r>
      <w:r>
        <w:rPr>
          <w:rFonts w:ascii="Times New Roman" w:eastAsia="黑体" w:cs="Times New Roman" w:hAnsi="Times New Roman"/>
          <w:color w:val="000000"/>
          <w:kern w:val="0"/>
          <w:sz w:val="32"/>
          <w:szCs w:val="32"/>
          <w:shd w:val="clear" w:color="auto" w:fill="FFFFFF"/>
        </w:rPr>
        <w:t>预算绩效分析</w:t>
      </w:r>
      <w:bookmarkStart w:id="116" w:name="_Toc1126597577_WPSOffice_Level2"/>
      <w:bookmarkEnd w:id="115"/>
    </w:p>
    <w:p>
      <w:pPr>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（一）</w:t>
      </w:r>
      <w:r>
        <w:rPr>
          <w:rFonts w:eastAsia="楷体_GB2312" w:cs="Times New Roman" w:hint="eastAsia"/>
          <w:b/>
          <w:bCs/>
          <w:color w:val="000000"/>
          <w:kern w:val="0"/>
          <w:sz w:val="32"/>
          <w:szCs w:val="32"/>
          <w:shd w:val="clear" w:color="auto" w:fill="FFFFFF"/>
          <w:lang w:val="zh-CN"/>
        </w:rPr>
        <w:t>单位</w:t>
      </w:r>
      <w:r>
        <w:rPr>
          <w:rFonts w:ascii="Times New Roman" w:eastAsia="楷体_GB2312" w:cs="Times New Roman" w:hAnsi="Times New Roman"/>
          <w:b/>
          <w:bCs/>
          <w:color w:val="000000"/>
          <w:kern w:val="0"/>
          <w:sz w:val="32"/>
          <w:szCs w:val="32"/>
          <w:shd w:val="clear" w:color="auto" w:fill="FFFFFF"/>
          <w:lang w:val="zh-CN"/>
        </w:rPr>
        <w:t>预算总</w:t>
      </w:r>
      <w:bookmarkEnd w:id="116"/>
      <w:r>
        <w:rPr>
          <w:rFonts w:ascii="Times New Roman" w:eastAsia="楷体_GB2312" w:cs="Times New Roman" w:hAnsi="Times New Roman"/>
          <w:b/>
          <w:bCs/>
          <w:color w:val="000000"/>
          <w:kern w:val="0"/>
          <w:sz w:val="32"/>
          <w:szCs w:val="32"/>
          <w:shd w:val="clear" w:color="auto" w:fill="FFFFFF"/>
          <w:lang w:val="zh-CN"/>
        </w:rPr>
        <w:t>体绩效分析。</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eastAsia="zh-CN"/>
        </w:rPr>
      </w:pPr>
      <w:r>
        <w:rPr>
          <w:rFonts w:ascii="Times New Roman" w:eastAsia="仿宋_GB2312" w:cs="Times New Roman" w:hAnsi="Times New Roman"/>
          <w:color w:val="000000"/>
          <w:kern w:val="0"/>
          <w:sz w:val="32"/>
          <w:szCs w:val="32"/>
          <w:shd w:val="clear" w:color="auto" w:fill="FFFFFF"/>
        </w:rPr>
        <w:t>1.</w:t>
      </w:r>
      <w:r>
        <w:rPr>
          <w:rFonts w:ascii="Times New Roman" w:eastAsia="仿宋_GB2312" w:cs="Times New Roman" w:hAnsi="Times New Roman"/>
          <w:color w:val="000000"/>
          <w:kern w:val="0"/>
          <w:sz w:val="32"/>
          <w:szCs w:val="32"/>
          <w:shd w:val="clear" w:color="auto" w:fill="FFFFFF"/>
          <w:lang w:val="zh-CN"/>
        </w:rPr>
        <w:t>履职效能。</w:t>
      </w:r>
      <w:r>
        <w:rPr>
          <w:rFonts w:ascii="Times New Roman" w:eastAsia="仿宋_GB2312" w:cs="Times New Roman" w:hAnsi="Times New Roman"/>
          <w:color w:val="000000"/>
          <w:kern w:val="0"/>
          <w:sz w:val="32"/>
          <w:szCs w:val="32"/>
          <w:shd w:val="clear" w:color="auto" w:fill="FFFFFF"/>
        </w:rPr>
        <w:t>攀枝花市司法局202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年履职效能指标选取以下五项：</w:t>
      </w:r>
      <w:r>
        <w:rPr>
          <w:rFonts w:ascii="Times New Roman" w:eastAsia="仿宋_GB2312" w:cs="Times New Roman" w:hAnsi="Times New Roman"/>
          <w:b/>
          <w:bCs/>
          <w:color w:val="000000"/>
          <w:kern w:val="0"/>
          <w:sz w:val="32"/>
          <w:szCs w:val="32"/>
          <w:shd w:val="clear" w:color="auto" w:fill="FFFFFF"/>
        </w:rPr>
        <w:t>一是</w:t>
      </w:r>
      <w:r>
        <w:rPr>
          <w:rFonts w:ascii="Times New Roman" w:eastAsia="仿宋_GB2312" w:cs="Times New Roman" w:hAnsi="Times New Roman"/>
          <w:color w:val="000000"/>
          <w:kern w:val="0"/>
          <w:sz w:val="32"/>
          <w:szCs w:val="32"/>
          <w:shd w:val="clear" w:color="auto" w:fill="FFFFFF"/>
          <w:lang w:eastAsia="zh-CN"/>
        </w:rPr>
        <w:t>全面依法治市重点任务完成率达</w:t>
      </w:r>
      <w:r>
        <w:rPr>
          <w:rFonts w:ascii="Times New Roman" w:eastAsia="仿宋_GB2312" w:cs="Times New Roman" w:hAnsi="Times New Roman"/>
          <w:color w:val="000000"/>
          <w:kern w:val="0"/>
          <w:sz w:val="32"/>
          <w:szCs w:val="32"/>
          <w:shd w:val="clear" w:color="auto" w:fill="FFFFFF"/>
        </w:rPr>
        <w:t>100%。</w:t>
      </w:r>
      <w:r>
        <w:rPr>
          <w:rFonts w:ascii="Times New Roman" w:eastAsia="仿宋_GB2312" w:cs="Times New Roman" w:hAnsi="Times New Roman"/>
          <w:color w:val="000000"/>
          <w:kern w:val="0"/>
          <w:sz w:val="32"/>
          <w:szCs w:val="32"/>
          <w:shd w:val="clear" w:color="auto" w:fill="FFFFFF"/>
          <w:lang w:val="en-US" w:eastAsia="zh-CN"/>
        </w:rPr>
        <w:t>2025年筹备召开市委全面依法治市委员会会议和办公会议</w:t>
      </w:r>
      <w:r>
        <w:rPr>
          <w:rFonts w:ascii="Times New Roman" w:eastAsia="仿宋_GB2312" w:cs="Times New Roman" w:hAnsi="Times New Roman"/>
          <w:color w:val="000000"/>
          <w:kern w:val="0"/>
          <w:sz w:val="32"/>
          <w:szCs w:val="32"/>
          <w:shd w:val="clear" w:color="auto" w:fill="FFFFFF"/>
          <w:lang w:eastAsia="zh-CN"/>
        </w:rPr>
        <w:t>，制定市委</w:t>
      </w:r>
      <w:r>
        <w:rPr>
          <w:rFonts w:ascii="Times New Roman" w:eastAsia="仿宋_GB2312" w:cs="Times New Roman" w:hAnsi="Times New Roman"/>
          <w:color w:val="000000"/>
          <w:kern w:val="0"/>
          <w:sz w:val="32"/>
          <w:szCs w:val="32"/>
          <w:shd w:val="clear" w:color="auto" w:fill="FFFFFF"/>
        </w:rPr>
        <w:t>全面依法治市委员会2025年工作要点</w:t>
      </w:r>
      <w:r>
        <w:rPr>
          <w:rFonts w:ascii="Times New Roman" w:eastAsia="仿宋_GB2312" w:cs="Times New Roman" w:hAnsi="Times New Roman"/>
          <w:color w:val="000000"/>
          <w:kern w:val="0"/>
          <w:sz w:val="32"/>
          <w:szCs w:val="32"/>
          <w:shd w:val="clear" w:color="auto" w:fill="FFFFFF"/>
          <w:lang w:eastAsia="zh-CN"/>
        </w:rPr>
        <w:t>，明确</w:t>
      </w:r>
      <w:r>
        <w:rPr>
          <w:rFonts w:ascii="Times New Roman" w:eastAsia="仿宋_GB2312" w:cs="Times New Roman" w:hAnsi="Times New Roman"/>
          <w:color w:val="000000"/>
          <w:kern w:val="0"/>
          <w:sz w:val="32"/>
          <w:szCs w:val="32"/>
          <w:shd w:val="clear" w:color="auto" w:fill="FFFFFF"/>
          <w:lang w:val="en-US" w:eastAsia="zh-CN"/>
        </w:rPr>
        <w:t>25项重点任务</w:t>
      </w:r>
      <w:r>
        <w:rPr>
          <w:rFonts w:ascii="Times New Roman" w:eastAsia="仿宋_GB2312" w:cs="Times New Roman" w:hAnsi="Times New Roman"/>
          <w:color w:val="000000"/>
          <w:kern w:val="0"/>
          <w:sz w:val="32"/>
          <w:szCs w:val="32"/>
          <w:shd w:val="clear" w:color="auto" w:fill="FFFFFF"/>
        </w:rPr>
        <w:t>。完成市委法治建设议事协调机构及其办事机构优化调整，推动落实法治建设年度报告制度和法治政府建设年度报告制度。牵头整改中央法治督察反馈24项问题并取得阶段性成果</w:t>
      </w:r>
      <w:r>
        <w:rPr>
          <w:rFonts w:ascii="Times New Roman" w:eastAsia="仿宋_GB2312" w:cs="Times New Roman" w:hAnsi="Times New Roman"/>
          <w:color w:val="000000"/>
          <w:kern w:val="0"/>
          <w:sz w:val="32"/>
          <w:szCs w:val="32"/>
          <w:shd w:val="clear" w:color="auto" w:fill="FFFFFF"/>
          <w:lang w:eastAsia="zh-CN"/>
        </w:rPr>
        <w:t>，</w:t>
      </w:r>
      <w:r>
        <w:rPr>
          <w:rFonts w:ascii="Times New Roman" w:eastAsia="仿宋_GB2312" w:cs="Times New Roman" w:hAnsi="Times New Roman"/>
          <w:color w:val="000000"/>
          <w:kern w:val="0"/>
          <w:sz w:val="32"/>
          <w:szCs w:val="32"/>
          <w:shd w:val="clear" w:color="auto" w:fill="FFFFFF"/>
        </w:rPr>
        <w:t>开展攀枝花法治建设“一规划两方案”总结评估。建设小区依法治理省级试点小区4个，市委依法治市办</w:t>
      </w:r>
      <w:r>
        <w:rPr>
          <w:rFonts w:ascii="Times New Roman" w:eastAsia="仿宋_GB2312" w:cs="Times New Roman" w:hAnsi="Times New Roman"/>
          <w:color w:val="000000"/>
          <w:kern w:val="0"/>
          <w:sz w:val="32"/>
          <w:szCs w:val="32"/>
          <w:shd w:val="clear" w:color="auto" w:fill="FFFFFF"/>
          <w:lang w:eastAsia="zh-CN"/>
        </w:rPr>
        <w:t>、</w:t>
      </w:r>
      <w:r>
        <w:rPr>
          <w:rFonts w:ascii="Times New Roman" w:eastAsia="仿宋_GB2312" w:cs="Times New Roman" w:hAnsi="Times New Roman"/>
          <w:color w:val="000000"/>
          <w:kern w:val="0"/>
          <w:sz w:val="32"/>
          <w:szCs w:val="32"/>
          <w:shd w:val="clear" w:color="auto" w:fill="FFFFFF"/>
        </w:rPr>
        <w:t>攀枝花学院</w:t>
      </w:r>
      <w:r>
        <w:rPr>
          <w:rFonts w:ascii="Times New Roman" w:eastAsia="仿宋_GB2312" w:cs="Times New Roman" w:hAnsi="Times New Roman"/>
          <w:color w:val="000000"/>
          <w:kern w:val="0"/>
          <w:sz w:val="32"/>
          <w:szCs w:val="32"/>
          <w:shd w:val="clear" w:color="auto" w:fill="FFFFFF"/>
          <w:lang w:eastAsia="zh-CN"/>
        </w:rPr>
        <w:t>被命名为全省首批</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eastAsia="zh-CN"/>
        </w:rPr>
        <w:t>全面依法治省研究基地</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b/>
          <w:bCs/>
          <w:color w:val="000000"/>
          <w:kern w:val="0"/>
          <w:sz w:val="32"/>
          <w:szCs w:val="32"/>
          <w:shd w:val="clear" w:color="auto" w:fill="FFFFFF"/>
        </w:rPr>
        <w:t>二是</w:t>
      </w:r>
      <w:r>
        <w:rPr>
          <w:rFonts w:ascii="Times New Roman" w:eastAsia="仿宋_GB2312" w:cs="Times New Roman" w:hAnsi="Times New Roman"/>
          <w:color w:val="000000"/>
          <w:kern w:val="0"/>
          <w:sz w:val="32"/>
          <w:szCs w:val="32"/>
          <w:shd w:val="clear" w:color="auto" w:fill="FFFFFF"/>
        </w:rPr>
        <w:t>开</w:t>
      </w:r>
      <w:r>
        <w:rPr>
          <w:rFonts w:ascii="Times New Roman" w:eastAsia="仿宋_GB2312" w:cs="Times New Roman" w:hAnsi="Times New Roman"/>
          <w:color w:val="000000"/>
          <w:kern w:val="0"/>
          <w:sz w:val="32"/>
          <w:szCs w:val="32"/>
          <w:shd w:val="clear" w:color="auto" w:fill="FFFFFF"/>
          <w:lang w:val="en-US" w:eastAsia="zh-CN"/>
        </w:rPr>
        <w:t>展行政合法性审查。全年开展行政规范性文件、重大行政决策和重大协议合法性审查61件，备案审查行政规范性文件89件。对全市49个乡镇（街道）1.8万余项履职事项开展法治审核。完成3部地方性法规、政府规章的审查、论证工作。推动重点领域立法，在全省率先颁布《攀枝花市健康影响评估办法》。</w:t>
      </w:r>
      <w:r>
        <w:rPr>
          <w:rFonts w:ascii="Times New Roman" w:eastAsia="仿宋_GB2312" w:cs="Times New Roman" w:hAnsi="Times New Roman"/>
          <w:b/>
          <w:bCs/>
          <w:color w:val="000000"/>
          <w:kern w:val="0"/>
          <w:sz w:val="32"/>
          <w:szCs w:val="32"/>
          <w:shd w:val="clear" w:color="auto" w:fill="FFFFFF"/>
          <w:lang w:val="en-US" w:eastAsia="zh-CN"/>
        </w:rPr>
        <w:t>三是</w:t>
      </w:r>
      <w:r>
        <w:rPr>
          <w:rFonts w:ascii="Times New Roman" w:eastAsia="仿宋_GB2312" w:cs="Times New Roman" w:hAnsi="Times New Roman"/>
          <w:color w:val="000000"/>
          <w:kern w:val="0"/>
          <w:sz w:val="32"/>
          <w:szCs w:val="32"/>
          <w:shd w:val="clear" w:color="auto" w:fill="FFFFFF"/>
          <w:lang w:val="en-US" w:eastAsia="zh-CN"/>
        </w:rPr>
        <w:t>开展法治宣传普法活动。制定2025年全市法治宣传“一月一主题活动”工作方案，组织宪法宣传周等系列活动。召开“八五”普法总结会、举办“八五”普法成果展以及国家宪法日法治讲座。征集、发布全市“八五”普法依法治理十大典型案例，开展主题宣传活动42场次，培育法治文化IP 20余个。围绕推广法律服务、收集公民法治需求等，设立普法驿站、法治驿站等100余个。</w:t>
      </w:r>
      <w:r>
        <w:rPr>
          <w:rFonts w:ascii="Times New Roman" w:eastAsia="仿宋_GB2312" w:cs="Times New Roman" w:hAnsi="Times New Roman"/>
          <w:b/>
          <w:bCs/>
          <w:color w:val="000000"/>
          <w:kern w:val="0"/>
          <w:sz w:val="32"/>
          <w:szCs w:val="32"/>
          <w:shd w:val="clear" w:color="auto" w:fill="FFFFFF"/>
          <w:lang w:val="en-US" w:eastAsia="zh-CN"/>
        </w:rPr>
        <w:t>四是</w:t>
      </w:r>
      <w:r>
        <w:rPr>
          <w:rFonts w:ascii="Times New Roman" w:eastAsia="仿宋_GB2312" w:cs="Times New Roman" w:hAnsi="Times New Roman"/>
          <w:color w:val="000000"/>
          <w:kern w:val="0"/>
          <w:sz w:val="32"/>
          <w:szCs w:val="32"/>
          <w:shd w:val="clear" w:color="auto" w:fill="FFFFFF"/>
          <w:lang w:val="en-US" w:eastAsia="zh-CN"/>
        </w:rPr>
        <w:t>开展行政执法监督备案审查。</w:t>
      </w:r>
      <w:r>
        <w:rPr>
          <w:rFonts w:ascii="Times New Roman" w:eastAsia="仿宋_GB2312" w:cs="Times New Roman" w:hAnsi="Times New Roman"/>
          <w:color w:val="000000"/>
          <w:kern w:val="0"/>
          <w:sz w:val="32"/>
          <w:szCs w:val="32"/>
          <w:shd w:val="clear" w:color="auto" w:fill="FFFFFF"/>
        </w:rPr>
        <w:t>扎实开展规范涉企行政执法专项行动，</w:t>
      </w:r>
      <w:r>
        <w:rPr>
          <w:rFonts w:ascii="Times New Roman" w:eastAsia="仿宋_GB2312" w:cs="Times New Roman" w:hAnsi="Times New Roman"/>
          <w:color w:val="000000"/>
          <w:kern w:val="0"/>
          <w:sz w:val="32"/>
          <w:szCs w:val="32"/>
          <w:shd w:val="clear" w:color="auto" w:fill="FFFFFF"/>
          <w:lang w:eastAsia="zh-CN"/>
        </w:rPr>
        <w:t>向纪检监察机关</w:t>
      </w:r>
      <w:r>
        <w:rPr>
          <w:rFonts w:ascii="Times New Roman" w:eastAsia="仿宋_GB2312" w:cs="Times New Roman" w:hAnsi="Times New Roman"/>
          <w:color w:val="000000"/>
          <w:kern w:val="0"/>
          <w:sz w:val="32"/>
          <w:szCs w:val="32"/>
          <w:shd w:val="clear" w:color="auto" w:fill="FFFFFF"/>
          <w:lang w:val="en-US" w:eastAsia="zh-CN"/>
        </w:rPr>
        <w:t>移送问题线索26条，为企业群众挽回损失200余万元。在全省率先开展行政检查“亮码入企”</w:t>
      </w:r>
      <w:r>
        <w:rPr>
          <w:rFonts w:ascii="Times New Roman" w:eastAsia="仿宋_GB2312" w:cs="Times New Roman" w:hAnsi="Times New Roman"/>
          <w:color w:val="000000"/>
          <w:kern w:val="0"/>
          <w:sz w:val="32"/>
          <w:szCs w:val="32"/>
          <w:shd w:val="clear" w:color="auto" w:fill="FFFFFF"/>
        </w:rPr>
        <w:t>省级试点，企业满意度评价100%。整合1</w:t>
      </w:r>
      <w:r>
        <w:rPr>
          <w:rFonts w:ascii="Times New Roman" w:eastAsia="仿宋_GB2312" w:cs="Times New Roman" w:hAnsi="Times New Roman"/>
          <w:color w:val="000000"/>
          <w:kern w:val="0"/>
          <w:sz w:val="32"/>
          <w:szCs w:val="32"/>
          <w:shd w:val="clear" w:color="auto" w:fill="FFFFFF"/>
          <w:lang w:val="en-US" w:eastAsia="zh-CN"/>
        </w:rPr>
        <w:t>55</w:t>
      </w:r>
      <w:r>
        <w:rPr>
          <w:rFonts w:ascii="Times New Roman" w:eastAsia="仿宋_GB2312" w:cs="Times New Roman" w:hAnsi="Times New Roman"/>
          <w:color w:val="000000"/>
          <w:kern w:val="0"/>
          <w:sz w:val="32"/>
          <w:szCs w:val="32"/>
          <w:shd w:val="clear" w:color="auto" w:fill="FFFFFF"/>
        </w:rPr>
        <w:t>项行政检查事项形成</w:t>
      </w:r>
      <w:r>
        <w:rPr>
          <w:rFonts w:ascii="Times New Roman" w:eastAsia="仿宋_GB2312" w:cs="Times New Roman" w:hAnsi="Times New Roman"/>
          <w:color w:val="000000"/>
          <w:kern w:val="0"/>
          <w:sz w:val="32"/>
          <w:szCs w:val="32"/>
          <w:shd w:val="clear" w:color="auto" w:fill="FFFFFF"/>
          <w:lang w:val="en-US" w:eastAsia="zh-CN"/>
        </w:rPr>
        <w:t>44</w:t>
      </w:r>
      <w:r>
        <w:rPr>
          <w:rFonts w:ascii="Times New Roman" w:eastAsia="仿宋_GB2312" w:cs="Times New Roman" w:hAnsi="Times New Roman"/>
          <w:color w:val="000000"/>
          <w:kern w:val="0"/>
          <w:sz w:val="32"/>
          <w:szCs w:val="32"/>
          <w:shd w:val="clear" w:color="auto" w:fill="FFFFFF"/>
        </w:rPr>
        <w:t>项“综合查一次”清单，</w:t>
      </w:r>
      <w:r>
        <w:rPr>
          <w:rFonts w:ascii="Times New Roman" w:eastAsia="仿宋_GB2312" w:cs="Times New Roman" w:hAnsi="Times New Roman"/>
          <w:color w:val="000000"/>
          <w:kern w:val="0"/>
          <w:sz w:val="32"/>
          <w:szCs w:val="32"/>
          <w:shd w:val="clear" w:color="auto" w:fill="FFFFFF"/>
          <w:lang w:eastAsia="zh-CN"/>
        </w:rPr>
        <w:t>涉企行政检查同比下降31%，</w:t>
      </w:r>
      <w:r>
        <w:rPr>
          <w:rFonts w:ascii="Times New Roman" w:eastAsia="仿宋_GB2312" w:cs="Times New Roman" w:hAnsi="Times New Roman"/>
          <w:color w:val="000000"/>
          <w:kern w:val="0"/>
          <w:sz w:val="32"/>
          <w:szCs w:val="32"/>
          <w:shd w:val="clear" w:color="auto" w:fill="FFFFFF"/>
          <w:lang w:val="en-US" w:eastAsia="zh-CN"/>
        </w:rPr>
        <w:t>不予处罚、减轻处罚案件同比增长21%。</w:t>
      </w:r>
      <w:r>
        <w:rPr>
          <w:rFonts w:ascii="Times New Roman" w:eastAsia="仿宋_GB2312" w:cs="Times New Roman" w:hAnsi="Times New Roman"/>
          <w:color w:val="000000"/>
          <w:kern w:val="0"/>
          <w:sz w:val="32"/>
          <w:szCs w:val="32"/>
          <w:shd w:val="clear" w:color="auto" w:fill="FFFFFF"/>
        </w:rPr>
        <w:t>为全市重点企业、重大项目提供“1+1”专项法律服务，妥善处置外地律师违规插手我市重点项目建设工作，开展法治体检</w:t>
      </w:r>
      <w:r>
        <w:rPr>
          <w:rFonts w:ascii="Times New Roman" w:eastAsia="仿宋_GB2312" w:cs="Times New Roman" w:hAnsi="Times New Roman"/>
          <w:color w:val="000000"/>
          <w:kern w:val="0"/>
          <w:sz w:val="32"/>
          <w:szCs w:val="32"/>
          <w:shd w:val="clear" w:color="auto" w:fill="FFFFFF"/>
          <w:lang w:val="en-US" w:eastAsia="zh-CN"/>
        </w:rPr>
        <w:t>200余</w:t>
      </w:r>
      <w:r>
        <w:rPr>
          <w:rFonts w:ascii="Times New Roman" w:eastAsia="仿宋_GB2312" w:cs="Times New Roman" w:hAnsi="Times New Roman"/>
          <w:color w:val="000000"/>
          <w:kern w:val="0"/>
          <w:sz w:val="32"/>
          <w:szCs w:val="32"/>
          <w:shd w:val="clear" w:color="auto" w:fill="FFFFFF"/>
        </w:rPr>
        <w:t>场次。</w:t>
      </w:r>
      <w:r>
        <w:rPr>
          <w:rFonts w:ascii="Times New Roman" w:eastAsia="仿宋_GB2312" w:cs="Times New Roman" w:hAnsi="Times New Roman"/>
          <w:b/>
          <w:bCs/>
          <w:color w:val="000000"/>
          <w:kern w:val="0"/>
          <w:sz w:val="32"/>
          <w:szCs w:val="32"/>
          <w:shd w:val="clear" w:color="auto" w:fill="FFFFFF"/>
        </w:rPr>
        <w:t>五是</w:t>
      </w:r>
      <w:r>
        <w:rPr>
          <w:rFonts w:ascii="Times New Roman" w:eastAsia="仿宋_GB2312" w:cs="Times New Roman" w:hAnsi="Times New Roman"/>
          <w:color w:val="000000"/>
          <w:kern w:val="0"/>
          <w:sz w:val="32"/>
          <w:szCs w:val="32"/>
          <w:shd w:val="clear" w:color="auto" w:fill="FFFFFF"/>
        </w:rPr>
        <w:t>受理行政复议</w:t>
      </w:r>
      <w:r>
        <w:rPr>
          <w:rFonts w:ascii="Times New Roman" w:eastAsia="仿宋_GB2312" w:cs="Times New Roman" w:hAnsi="Times New Roman"/>
          <w:color w:val="000000"/>
          <w:kern w:val="0"/>
          <w:sz w:val="32"/>
          <w:szCs w:val="32"/>
          <w:shd w:val="clear" w:color="auto" w:fill="FFFFFF"/>
          <w:lang w:eastAsia="zh-CN"/>
        </w:rPr>
        <w:t>案件</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sz w:val="32"/>
          <w:szCs w:val="32"/>
          <w:lang w:eastAsia="zh-CN" w:bidi="ar-SA"/>
        </w:rPr>
        <w:t>受理</w:t>
      </w:r>
      <w:r>
        <w:rPr>
          <w:rFonts w:ascii="Times New Roman" w:eastAsia="仿宋_GB2312" w:cs="Times New Roman" w:hAnsi="Times New Roman"/>
          <w:color w:val="000000"/>
          <w:sz w:val="32"/>
          <w:szCs w:val="32"/>
          <w:lang w:bidi="ar-SA"/>
        </w:rPr>
        <w:t>行政复议案件</w:t>
      </w:r>
      <w:r>
        <w:rPr>
          <w:rFonts w:ascii="Times New Roman" w:eastAsia="仿宋_GB2312" w:cs="Times New Roman" w:hAnsi="Times New Roman"/>
          <w:color w:val="000000"/>
          <w:sz w:val="32"/>
          <w:szCs w:val="32"/>
          <w:lang w:val="en-US" w:eastAsia="zh-CN" w:bidi="ar-SA"/>
        </w:rPr>
        <w:t>294</w:t>
      </w:r>
      <w:r>
        <w:rPr>
          <w:rFonts w:ascii="Times New Roman" w:eastAsia="仿宋_GB2312" w:cs="Times New Roman" w:hAnsi="Times New Roman"/>
          <w:color w:val="000000"/>
          <w:sz w:val="32"/>
          <w:szCs w:val="32"/>
          <w:lang w:bidi="ar-SA"/>
        </w:rPr>
        <w:t>件，</w:t>
      </w:r>
      <w:r>
        <w:rPr>
          <w:rFonts w:ascii="Times New Roman" w:eastAsia="仿宋_GB2312" w:cs="Times New Roman" w:hAnsi="Times New Roman"/>
          <w:color w:val="000000"/>
          <w:sz w:val="32"/>
          <w:szCs w:val="32"/>
          <w:lang w:eastAsia="zh-CN" w:bidi="ar-SA"/>
        </w:rPr>
        <w:t>同比增加</w:t>
      </w:r>
      <w:r>
        <w:rPr>
          <w:rFonts w:ascii="Times New Roman" w:eastAsia="仿宋_GB2312" w:cs="Times New Roman" w:hAnsi="Times New Roman"/>
          <w:color w:val="000000"/>
          <w:sz w:val="32"/>
          <w:szCs w:val="32"/>
          <w:lang w:val="en-US" w:eastAsia="zh-CN" w:bidi="ar-SA"/>
        </w:rPr>
        <w:t>250%，</w:t>
      </w:r>
      <w:r>
        <w:rPr>
          <w:rFonts w:ascii="Times New Roman" w:eastAsia="仿宋_GB2312" w:cs="Times New Roman" w:hAnsi="Times New Roman"/>
          <w:color w:val="000000"/>
          <w:sz w:val="32"/>
          <w:szCs w:val="32"/>
          <w:lang w:bidi="ar-SA"/>
        </w:rPr>
        <w:t>1个行政复议案例入选司法部典型案例</w:t>
      </w:r>
      <w:r>
        <w:rPr>
          <w:rFonts w:ascii="Times New Roman" w:eastAsia="仿宋_GB2312" w:cs="Times New Roman" w:hAnsi="Times New Roman"/>
          <w:color w:val="000000"/>
          <w:kern w:val="0"/>
          <w:sz w:val="32"/>
          <w:szCs w:val="32"/>
          <w:shd w:val="clear" w:color="auto" w:fill="FFFFFF"/>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rPr>
      </w:pPr>
      <w:r>
        <w:rPr>
          <w:rFonts w:ascii="Times New Roman" w:eastAsia="仿宋_GB2312" w:cs="Times New Roman" w:hAnsi="Times New Roman"/>
          <w:color w:val="000000"/>
          <w:kern w:val="0"/>
          <w:sz w:val="32"/>
          <w:szCs w:val="32"/>
          <w:shd w:val="clear" w:color="auto" w:fill="FFFFFF"/>
        </w:rPr>
        <w:t>2.</w:t>
      </w:r>
      <w:r>
        <w:rPr>
          <w:rFonts w:ascii="Times New Roman" w:eastAsia="仿宋_GB2312" w:cs="Times New Roman" w:hAnsi="Times New Roman"/>
          <w:color w:val="000000"/>
          <w:kern w:val="0"/>
          <w:sz w:val="32"/>
          <w:szCs w:val="32"/>
          <w:shd w:val="clear" w:color="auto" w:fill="FFFFFF"/>
          <w:lang w:val="zh-CN"/>
        </w:rPr>
        <w:t>预算管理。</w:t>
      </w:r>
      <w:r>
        <w:rPr>
          <w:rFonts w:ascii="Times New Roman" w:eastAsia="仿宋_GB2312" w:cs="Times New Roman" w:hAnsi="Times New Roman"/>
          <w:color w:val="000000"/>
          <w:kern w:val="0"/>
          <w:sz w:val="32"/>
          <w:szCs w:val="32"/>
        </w:rPr>
        <w:t>攀枝花市司法局年初严格按照市财政要求及口径科学、准确编制年度</w:t>
      </w:r>
      <w:r>
        <w:rPr>
          <w:rFonts w:ascii="Times New Roman" w:eastAsia="仿宋_GB2312" w:cs="Times New Roman" w:hAnsi="Times New Roman"/>
          <w:color w:val="000000"/>
          <w:kern w:val="0"/>
          <w:sz w:val="32"/>
          <w:szCs w:val="32"/>
          <w:lang w:val="zh-CN"/>
        </w:rPr>
        <w:t>预</w:t>
      </w:r>
      <w:r>
        <w:rPr>
          <w:rFonts w:ascii="Times New Roman" w:eastAsia="仿宋_GB2312" w:cs="Times New Roman" w:hAnsi="Times New Roman"/>
          <w:color w:val="000000"/>
          <w:kern w:val="0"/>
          <w:sz w:val="32"/>
          <w:szCs w:val="32"/>
          <w:shd w:val="clear" w:color="auto" w:fill="FFFFFF"/>
          <w:lang w:val="zh-CN"/>
        </w:rPr>
        <w:t>算，</w:t>
      </w:r>
      <w:r>
        <w:rPr>
          <w:rFonts w:ascii="Times New Roman" w:eastAsia="仿宋_GB2312" w:cs="Times New Roman" w:hAnsi="Times New Roman"/>
          <w:color w:val="000000"/>
          <w:kern w:val="0"/>
          <w:sz w:val="32"/>
          <w:szCs w:val="32"/>
          <w:shd w:val="clear" w:color="auto" w:fill="FFFFFF"/>
        </w:rPr>
        <w:t>全年</w:t>
      </w:r>
      <w:r>
        <w:rPr>
          <w:rFonts w:ascii="Times New Roman" w:eastAsia="仿宋_GB2312" w:cs="Times New Roman" w:hAnsi="Times New Roman"/>
          <w:color w:val="000000"/>
          <w:kern w:val="0"/>
          <w:sz w:val="32"/>
          <w:szCs w:val="32"/>
          <w:shd w:val="clear" w:color="auto" w:fill="FFFFFF"/>
          <w:lang w:eastAsia="zh-CN"/>
        </w:rPr>
        <w:t>财政拨款</w:t>
      </w:r>
      <w:r>
        <w:rPr>
          <w:rFonts w:ascii="Times New Roman" w:eastAsia="仿宋_GB2312" w:cs="Times New Roman" w:hAnsi="Times New Roman"/>
          <w:color w:val="000000"/>
          <w:kern w:val="0"/>
          <w:sz w:val="32"/>
          <w:szCs w:val="32"/>
          <w:shd w:val="clear" w:color="auto" w:fill="FFFFFF"/>
        </w:rPr>
        <w:t>预算偏离度为</w:t>
      </w:r>
      <w:r>
        <w:rPr>
          <w:rFonts w:ascii="Times New Roman" w:eastAsia="仿宋_GB2312" w:cs="Times New Roman" w:hAnsi="Times New Roman"/>
          <w:color w:val="000000"/>
          <w:kern w:val="0"/>
          <w:sz w:val="32"/>
          <w:szCs w:val="32"/>
          <w:shd w:val="clear" w:color="auto" w:fill="FFFFFF"/>
          <w:lang w:val="en-US" w:eastAsia="zh-CN"/>
        </w:rPr>
        <w:t>11.74</w:t>
      </w:r>
      <w:r>
        <w:rPr>
          <w:rFonts w:ascii="Times New Roman" w:eastAsia="仿宋_GB2312" w:cs="Times New Roman" w:hAnsi="Times New Roman"/>
          <w:color w:val="000000"/>
          <w:kern w:val="0"/>
          <w:sz w:val="32"/>
          <w:szCs w:val="32"/>
          <w:shd w:val="clear" w:color="auto" w:fill="FFFFFF"/>
        </w:rPr>
        <w:t>%，主要是年中</w:t>
      </w:r>
      <w:r>
        <w:rPr>
          <w:rFonts w:ascii="Times New Roman" w:eastAsia="仿宋_GB2312" w:cs="Times New Roman" w:hAnsi="Times New Roman"/>
          <w:color w:val="000000"/>
          <w:kern w:val="0"/>
          <w:sz w:val="32"/>
          <w:szCs w:val="32"/>
          <w:shd w:val="clear" w:color="auto" w:fill="FFFFFF"/>
          <w:lang w:eastAsia="zh-CN"/>
        </w:rPr>
        <w:t>职业年金做实</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eastAsia="zh-CN"/>
        </w:rPr>
        <w:t>人才专项经费、市级</w:t>
      </w:r>
      <w:r>
        <w:rPr>
          <w:rFonts w:ascii="Times New Roman" w:eastAsia="仿宋_GB2312" w:cs="Times New Roman" w:hAnsi="Times New Roman"/>
          <w:color w:val="000000"/>
          <w:kern w:val="0"/>
          <w:sz w:val="32"/>
          <w:szCs w:val="32"/>
          <w:shd w:val="clear" w:color="auto" w:fill="FFFFFF"/>
        </w:rPr>
        <w:t>挂职干部补助等</w:t>
      </w:r>
      <w:r>
        <w:rPr>
          <w:rFonts w:ascii="Times New Roman" w:eastAsia="仿宋_GB2312" w:cs="Times New Roman" w:hAnsi="Times New Roman"/>
          <w:color w:val="000000"/>
          <w:kern w:val="0"/>
          <w:sz w:val="32"/>
          <w:szCs w:val="32"/>
          <w:shd w:val="clear" w:color="auto" w:fill="FFFFFF"/>
          <w:lang w:eastAsia="zh-CN"/>
        </w:rPr>
        <w:t>追加</w:t>
      </w:r>
      <w:r>
        <w:rPr>
          <w:rFonts w:ascii="Times New Roman" w:eastAsia="仿宋_GB2312" w:cs="Times New Roman" w:hAnsi="Times New Roman"/>
          <w:color w:val="000000"/>
          <w:kern w:val="0"/>
          <w:sz w:val="32"/>
          <w:szCs w:val="32"/>
          <w:shd w:val="clear" w:color="auto" w:fill="FFFFFF"/>
        </w:rPr>
        <w:t>预算所致。</w:t>
      </w:r>
      <w:r>
        <w:rPr>
          <w:rFonts w:ascii="Times New Roman" w:eastAsia="仿宋_GB2312" w:cs="Times New Roman" w:hAnsi="Times New Roman"/>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rPr>
        <w:t>自有</w:t>
      </w:r>
      <w:r>
        <w:rPr>
          <w:rFonts w:ascii="Times New Roman" w:eastAsia="仿宋_GB2312" w:cs="Times New Roman" w:hAnsi="Times New Roman"/>
          <w:color w:val="000000"/>
          <w:kern w:val="0"/>
          <w:sz w:val="32"/>
          <w:szCs w:val="32"/>
          <w:shd w:val="clear" w:color="auto" w:fill="FFFFFF"/>
          <w:lang w:val="zh-CN"/>
        </w:rPr>
        <w:t>收入</w:t>
      </w:r>
      <w:r>
        <w:rPr>
          <w:rFonts w:ascii="Times New Roman" w:eastAsia="仿宋_GB2312" w:cs="Times New Roman" w:hAnsi="Times New Roman"/>
          <w:color w:val="000000"/>
          <w:kern w:val="0"/>
          <w:sz w:val="32"/>
          <w:szCs w:val="32"/>
          <w:shd w:val="clear" w:color="auto" w:fill="FFFFFF"/>
        </w:rPr>
        <w:t>全部纳入预算</w:t>
      </w:r>
      <w:r>
        <w:rPr>
          <w:rFonts w:ascii="Times New Roman" w:eastAsia="仿宋_GB2312" w:cs="Times New Roman" w:hAnsi="Times New Roman"/>
          <w:color w:val="000000"/>
          <w:kern w:val="0"/>
          <w:sz w:val="32"/>
          <w:szCs w:val="32"/>
          <w:shd w:val="clear" w:color="auto" w:fill="FFFFFF"/>
          <w:lang w:val="zh-CN"/>
        </w:rPr>
        <w:t>统筹</w:t>
      </w:r>
      <w:r>
        <w:rPr>
          <w:rFonts w:ascii="Times New Roman" w:eastAsia="仿宋_GB2312" w:cs="Times New Roman" w:hAnsi="Times New Roman"/>
          <w:color w:val="000000"/>
          <w:kern w:val="0"/>
          <w:sz w:val="32"/>
          <w:szCs w:val="32"/>
          <w:shd w:val="clear" w:color="auto" w:fill="FFFFFF"/>
        </w:rPr>
        <w:t>执行。预算</w:t>
      </w:r>
      <w:r>
        <w:rPr>
          <w:rFonts w:ascii="Times New Roman" w:eastAsia="仿宋_GB2312" w:cs="Times New Roman" w:hAnsi="Times New Roman"/>
          <w:color w:val="000000"/>
          <w:kern w:val="0"/>
          <w:sz w:val="32"/>
          <w:szCs w:val="32"/>
          <w:shd w:val="clear" w:color="auto" w:fill="FFFFFF"/>
          <w:lang w:val="zh-CN"/>
        </w:rPr>
        <w:t>支出执行进度</w:t>
      </w:r>
      <w:r>
        <w:rPr>
          <w:rFonts w:ascii="Times New Roman" w:eastAsia="仿宋_GB2312" w:cs="Times New Roman" w:hAnsi="Times New Roman"/>
          <w:color w:val="000000"/>
          <w:kern w:val="0"/>
          <w:sz w:val="32"/>
          <w:szCs w:val="32"/>
          <w:shd w:val="clear" w:color="auto" w:fill="FFFFFF"/>
        </w:rPr>
        <w:t>1-6月执行率达51</w:t>
      </w:r>
      <w:r>
        <w:rPr>
          <w:rFonts w:ascii="Times New Roman" w:eastAsia="仿宋_GB2312" w:cs="Times New Roman" w:hAnsi="Times New Roman"/>
          <w:color w:val="000000"/>
          <w:kern w:val="0"/>
          <w:sz w:val="32"/>
          <w:szCs w:val="32"/>
          <w:shd w:val="clear" w:color="auto" w:fill="FFFFFF"/>
          <w:lang w:val="en-US" w:eastAsia="zh-CN"/>
        </w:rPr>
        <w:t>.09</w:t>
      </w:r>
      <w:r>
        <w:rPr>
          <w:rFonts w:ascii="Times New Roman" w:eastAsia="仿宋_GB2312" w:cs="Times New Roman" w:hAnsi="Times New Roman"/>
          <w:color w:val="000000"/>
          <w:kern w:val="0"/>
          <w:sz w:val="32"/>
          <w:szCs w:val="32"/>
          <w:shd w:val="clear" w:color="auto" w:fill="FFFFFF"/>
        </w:rPr>
        <w:t>%，1-10月执行率为</w:t>
      </w:r>
      <w:r>
        <w:rPr>
          <w:rFonts w:ascii="Times New Roman" w:eastAsia="仿宋_GB2312" w:cs="Times New Roman" w:hAnsi="Times New Roman"/>
          <w:color w:val="000000"/>
          <w:kern w:val="0"/>
          <w:sz w:val="32"/>
          <w:szCs w:val="32"/>
          <w:shd w:val="clear" w:color="auto" w:fill="FFFFFF"/>
          <w:lang w:val="en-US" w:eastAsia="zh-CN"/>
        </w:rPr>
        <w:t>78.07</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val="zh-CN"/>
        </w:rPr>
        <w:t>年终</w:t>
      </w:r>
      <w:r>
        <w:rPr>
          <w:rFonts w:eastAsia="仿宋_GB2312" w:cs="Times New Roman" w:hint="eastAsia"/>
          <w:color w:val="000000"/>
          <w:kern w:val="0"/>
          <w:sz w:val="32"/>
          <w:szCs w:val="32"/>
          <w:shd w:val="clear" w:color="auto" w:fill="FFFFFF"/>
          <w:lang w:eastAsia="zh-CN"/>
        </w:rPr>
        <w:t>单位</w:t>
      </w:r>
      <w:r>
        <w:rPr>
          <w:rFonts w:ascii="Times New Roman" w:eastAsia="仿宋_GB2312" w:cs="Times New Roman" w:hAnsi="Times New Roman"/>
          <w:color w:val="000000"/>
          <w:kern w:val="0"/>
          <w:sz w:val="32"/>
          <w:szCs w:val="32"/>
          <w:shd w:val="clear" w:color="auto" w:fill="FFFFFF"/>
        </w:rPr>
        <w:t>整体预算结余率</w:t>
      </w:r>
      <w:r>
        <w:rPr>
          <w:rFonts w:ascii="Times New Roman" w:eastAsia="仿宋_GB2312" w:cs="Times New Roman" w:hAnsi="Times New Roman"/>
          <w:color w:val="000000"/>
          <w:kern w:val="0"/>
          <w:sz w:val="32"/>
          <w:szCs w:val="32"/>
          <w:shd w:val="clear" w:color="auto" w:fill="FFFFFF"/>
          <w:lang w:val="en-US" w:eastAsia="zh-CN"/>
        </w:rPr>
        <w:t>2.54</w:t>
      </w:r>
      <w:r>
        <w:rPr>
          <w:rFonts w:ascii="Times New Roman" w:eastAsia="仿宋_GB2312" w:cs="Times New Roman" w:hAnsi="Times New Roman"/>
          <w:color w:val="000000"/>
          <w:kern w:val="0"/>
          <w:sz w:val="32"/>
          <w:szCs w:val="32"/>
          <w:shd w:val="clear" w:color="auto" w:fill="FFFFFF"/>
        </w:rPr>
        <w:t>%</w:t>
      </w:r>
      <w:r>
        <w:rPr>
          <w:rFonts w:ascii="Times New Roman" w:eastAsia="仿宋_GB2312" w:cs="Times New Roman" w:hAnsi="Times New Roman"/>
          <w:color w:val="000000"/>
          <w:kern w:val="0"/>
          <w:sz w:val="32"/>
          <w:szCs w:val="32"/>
          <w:shd w:val="clear" w:color="auto" w:fill="FFFFFF"/>
          <w:lang w:val="zh-CN"/>
        </w:rPr>
        <w:t>。“三公”经费、会议、培训、差旅、办节办展、办公设备购置、信息网络及软件购置更新、课题经费等8项一般性支出2025年初预算37.82万元，实际支出30.12万元，</w:t>
      </w:r>
      <w:r>
        <w:rPr>
          <w:rFonts w:ascii="Times New Roman" w:eastAsia="仿宋_GB2312" w:cs="Times New Roman" w:hAnsi="Times New Roman"/>
          <w:color w:val="000000"/>
          <w:kern w:val="0"/>
          <w:sz w:val="32"/>
          <w:szCs w:val="32"/>
          <w:shd w:val="clear" w:color="auto" w:fill="FFFFFF"/>
        </w:rPr>
        <w:t>较上年</w:t>
      </w:r>
      <w:r>
        <w:rPr>
          <w:rFonts w:ascii="Times New Roman" w:eastAsia="仿宋_GB2312" w:cs="Times New Roman" w:hAnsi="Times New Roman"/>
          <w:color w:val="000000"/>
          <w:kern w:val="0"/>
          <w:sz w:val="32"/>
          <w:szCs w:val="32"/>
          <w:shd w:val="clear" w:color="auto" w:fill="FFFFFF"/>
          <w:lang w:val="zh-CN"/>
        </w:rPr>
        <w:t>压减支出</w:t>
      </w:r>
      <w:r>
        <w:rPr>
          <w:rFonts w:ascii="Times New Roman" w:eastAsia="仿宋_GB2312" w:cs="Times New Roman" w:hAnsi="Times New Roman"/>
          <w:color w:val="000000"/>
          <w:kern w:val="0"/>
          <w:sz w:val="32"/>
          <w:szCs w:val="32"/>
          <w:shd w:val="clear" w:color="auto" w:fill="FFFFFF"/>
          <w:lang w:val="en-US" w:eastAsia="zh-CN"/>
        </w:rPr>
        <w:t>7.12</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3.</w:t>
      </w:r>
      <w:r>
        <w:rPr>
          <w:rFonts w:ascii="Times New Roman" w:eastAsia="仿宋_GB2312" w:cs="Times New Roman" w:hAnsi="Times New Roman"/>
          <w:color w:val="000000"/>
          <w:kern w:val="0"/>
          <w:sz w:val="32"/>
          <w:szCs w:val="32"/>
          <w:shd w:val="clear" w:color="auto" w:fill="FFFFFF"/>
          <w:lang w:val="zh-CN"/>
        </w:rPr>
        <w:t>财务管理。</w:t>
      </w:r>
      <w:r>
        <w:rPr>
          <w:rFonts w:ascii="Times New Roman" w:eastAsia="仿宋_GB2312" w:cs="Times New Roman" w:hAnsi="Times New Roman"/>
          <w:color w:val="000000"/>
          <w:kern w:val="0"/>
          <w:sz w:val="32"/>
          <w:szCs w:val="32"/>
        </w:rPr>
        <w:t>攀枝花市司法局</w:t>
      </w:r>
      <w:r>
        <w:rPr>
          <w:rFonts w:ascii="Times New Roman" w:eastAsia="仿宋_GB2312" w:cs="Times New Roman" w:hAnsi="Times New Roman"/>
          <w:color w:val="000000"/>
          <w:kern w:val="0"/>
          <w:sz w:val="32"/>
          <w:szCs w:val="32"/>
          <w:shd w:val="clear" w:color="auto" w:fill="FFFFFF"/>
          <w:lang w:val="zh-CN"/>
        </w:rPr>
        <w:t>已制定内部财务管理制度</w:t>
      </w:r>
      <w:r>
        <w:rPr>
          <w:rFonts w:ascii="Times New Roman" w:eastAsia="仿宋_GB2312" w:cs="Times New Roman" w:hAnsi="Times New Roman"/>
          <w:color w:val="000000"/>
          <w:kern w:val="0"/>
          <w:sz w:val="32"/>
          <w:szCs w:val="32"/>
          <w:shd w:val="clear" w:color="auto" w:fill="FFFFFF"/>
        </w:rPr>
        <w:t>及内部控制</w:t>
      </w:r>
      <w:r>
        <w:rPr>
          <w:rFonts w:ascii="Times New Roman" w:eastAsia="仿宋_GB2312" w:cs="Times New Roman" w:hAnsi="Times New Roman"/>
          <w:color w:val="000000"/>
          <w:kern w:val="0"/>
          <w:sz w:val="32"/>
          <w:szCs w:val="32"/>
          <w:shd w:val="clear" w:color="auto" w:fill="FFFFFF"/>
          <w:lang w:val="zh-CN"/>
        </w:rPr>
        <w:t>制度</w:t>
      </w:r>
      <w:r>
        <w:rPr>
          <w:rFonts w:ascii="Times New Roman" w:eastAsia="仿宋_GB2312" w:cs="Times New Roman" w:hAnsi="Times New Roman"/>
          <w:color w:val="000000"/>
          <w:kern w:val="0"/>
          <w:sz w:val="32"/>
          <w:szCs w:val="32"/>
          <w:shd w:val="clear" w:color="auto" w:fill="FFFFFF"/>
        </w:rPr>
        <w:t>等，并在日常财务管理中得到有效落实和执行</w:t>
      </w:r>
      <w:r>
        <w:rPr>
          <w:rFonts w:ascii="Times New Roman" w:eastAsia="仿宋_GB2312" w:cs="Times New Roman" w:hAnsi="Times New Roman"/>
          <w:color w:val="000000"/>
          <w:kern w:val="0"/>
          <w:sz w:val="32"/>
          <w:szCs w:val="32"/>
          <w:shd w:val="clear" w:color="auto" w:fill="FFFFFF"/>
          <w:lang w:val="zh-CN"/>
        </w:rPr>
        <w:t>。</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rPr>
        <w:t>按照内控制度及相关要求</w:t>
      </w:r>
      <w:r>
        <w:rPr>
          <w:rFonts w:ascii="Times New Roman" w:eastAsia="仿宋_GB2312" w:cs="Times New Roman" w:hAnsi="Times New Roman"/>
          <w:color w:val="000000"/>
          <w:kern w:val="0"/>
          <w:sz w:val="32"/>
          <w:szCs w:val="32"/>
          <w:shd w:val="clear" w:color="auto" w:fill="FFFFFF"/>
          <w:lang w:val="zh-CN"/>
        </w:rPr>
        <w:t>合理设置财务工作岗位，明确职责权限，并严格实行不相容岗位分离。</w:t>
      </w:r>
      <w:r>
        <w:rPr>
          <w:rFonts w:ascii="Times New Roman" w:eastAsia="仿宋_GB2312" w:cs="Times New Roman" w:hAnsi="Times New Roman"/>
          <w:color w:val="000000"/>
          <w:kern w:val="0"/>
          <w:sz w:val="32"/>
          <w:szCs w:val="32"/>
          <w:shd w:val="clear" w:color="auto" w:fill="FFFFFF"/>
        </w:rPr>
        <w:t>单位</w:t>
      </w:r>
      <w:r>
        <w:rPr>
          <w:rFonts w:ascii="Times New Roman" w:eastAsia="仿宋_GB2312" w:cs="Times New Roman" w:hAnsi="Times New Roman"/>
          <w:color w:val="000000"/>
          <w:kern w:val="0"/>
          <w:sz w:val="32"/>
          <w:szCs w:val="32"/>
          <w:shd w:val="clear" w:color="auto" w:fill="FFFFFF"/>
          <w:lang w:val="zh-CN"/>
        </w:rPr>
        <w:t>资金使用</w:t>
      </w:r>
      <w:r>
        <w:rPr>
          <w:rFonts w:ascii="Times New Roman" w:eastAsia="仿宋_GB2312" w:cs="Times New Roman" w:hAnsi="Times New Roman"/>
          <w:color w:val="000000"/>
          <w:kern w:val="0"/>
          <w:sz w:val="32"/>
          <w:szCs w:val="32"/>
          <w:shd w:val="clear" w:color="auto" w:fill="FFFFFF"/>
        </w:rPr>
        <w:t>严格执行财务管理制度，并严格落实财经纪律，做到</w:t>
      </w:r>
      <w:r>
        <w:rPr>
          <w:rFonts w:ascii="Times New Roman" w:eastAsia="仿宋_GB2312" w:cs="Times New Roman" w:hAnsi="Times New Roman"/>
          <w:color w:val="000000"/>
          <w:kern w:val="0"/>
          <w:sz w:val="32"/>
          <w:szCs w:val="32"/>
          <w:shd w:val="clear" w:color="auto" w:fill="FFFFFF"/>
          <w:lang w:val="zh-CN"/>
        </w:rPr>
        <w:t>规范</w:t>
      </w:r>
      <w:r>
        <w:rPr>
          <w:rFonts w:ascii="Times New Roman" w:eastAsia="仿宋_GB2312" w:cs="Times New Roman" w:hAnsi="Times New Roman"/>
          <w:color w:val="000000"/>
          <w:kern w:val="0"/>
          <w:sz w:val="32"/>
          <w:szCs w:val="32"/>
          <w:shd w:val="clear" w:color="auto" w:fill="FFFFFF"/>
        </w:rPr>
        <w:t>使用</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4.</w:t>
      </w:r>
      <w:r>
        <w:rPr>
          <w:rFonts w:ascii="Times New Roman" w:eastAsia="仿宋_GB2312" w:cs="Times New Roman" w:hAnsi="Times New Roman"/>
          <w:color w:val="000000"/>
          <w:kern w:val="0"/>
          <w:sz w:val="32"/>
          <w:szCs w:val="32"/>
          <w:shd w:val="clear" w:color="auto" w:fill="FFFFFF"/>
          <w:lang w:val="zh-CN"/>
        </w:rPr>
        <w:t>资产管理。</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年攀枝花市司法局人均资产变化率0.0</w:t>
      </w:r>
      <w:r>
        <w:rPr>
          <w:rFonts w:ascii="Times New Roman" w:eastAsia="仿宋_GB2312" w:cs="Times New Roman" w:hAnsi="Times New Roman"/>
          <w:color w:val="000000"/>
          <w:kern w:val="0"/>
          <w:sz w:val="32"/>
          <w:szCs w:val="32"/>
          <w:shd w:val="clear" w:color="auto" w:fill="FFFFFF"/>
          <w:lang w:val="en-US" w:eastAsia="zh-CN"/>
        </w:rPr>
        <w:t>1</w:t>
      </w:r>
      <w:r>
        <w:rPr>
          <w:rFonts w:ascii="Times New Roman" w:eastAsia="仿宋_GB2312" w:cs="Times New Roman" w:hAnsi="Times New Roman"/>
          <w:color w:val="000000"/>
          <w:kern w:val="0"/>
          <w:sz w:val="32"/>
          <w:szCs w:val="32"/>
          <w:shd w:val="clear" w:color="auto" w:fill="FFFFFF"/>
        </w:rPr>
        <w:t>%；人均资产增长率为负增长。</w:t>
      </w:r>
      <w:r>
        <w:rPr>
          <w:rFonts w:ascii="Times New Roman" w:eastAsia="仿宋_GB2312" w:cs="Times New Roman" w:hAnsi="Times New Roman"/>
          <w:color w:val="000000"/>
          <w:kern w:val="0"/>
          <w:sz w:val="32"/>
          <w:szCs w:val="32"/>
          <w:shd w:val="clear" w:color="auto" w:fill="FFFFFF"/>
          <w:lang w:val="zh-CN"/>
        </w:rPr>
        <w:t>家具超最低年限使用率</w:t>
      </w:r>
      <w:r>
        <w:rPr>
          <w:rFonts w:ascii="Times New Roman" w:eastAsia="仿宋_GB2312" w:cs="Times New Roman" w:hAnsi="Times New Roman"/>
          <w:color w:val="000000"/>
          <w:kern w:val="0"/>
          <w:sz w:val="32"/>
          <w:szCs w:val="32"/>
          <w:shd w:val="clear" w:color="auto" w:fill="FFFFFF"/>
          <w:lang w:val="en-US" w:eastAsia="zh-CN"/>
        </w:rPr>
        <w:t>11.3</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rPr>
        <w:t>以资产原值计算</w:t>
      </w:r>
      <w:r>
        <w:rPr>
          <w:rFonts w:ascii="Times New Roman" w:eastAsia="仿宋_GB2312" w:cs="Times New Roman" w:hAnsi="Times New Roman"/>
          <w:color w:val="000000"/>
          <w:kern w:val="0"/>
          <w:sz w:val="32"/>
          <w:szCs w:val="32"/>
          <w:shd w:val="clear" w:color="auto" w:fill="FFFFFF"/>
          <w:lang w:val="zh-CN"/>
        </w:rPr>
        <w:t>）；设备超最低年限使用率</w:t>
      </w:r>
      <w:r>
        <w:rPr>
          <w:rFonts w:ascii="Times New Roman" w:eastAsia="仿宋_GB2312" w:cs="Times New Roman" w:hAnsi="Times New Roman"/>
          <w:color w:val="000000"/>
          <w:kern w:val="0"/>
          <w:sz w:val="32"/>
          <w:szCs w:val="32"/>
          <w:shd w:val="clear" w:color="auto" w:fill="FFFFFF"/>
          <w:lang w:val="en-US" w:eastAsia="zh-CN"/>
        </w:rPr>
        <w:t>55.49</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rPr>
        <w:t>以资产原值计算</w:t>
      </w:r>
      <w:r>
        <w:rPr>
          <w:rFonts w:ascii="Times New Roman" w:eastAsia="仿宋_GB2312" w:cs="Times New Roman" w:hAnsi="Times New Roman"/>
          <w:color w:val="000000"/>
          <w:kern w:val="0"/>
          <w:sz w:val="32"/>
          <w:szCs w:val="32"/>
          <w:shd w:val="clear" w:color="auto" w:fill="FFFFFF"/>
          <w:lang w:val="zh-CN"/>
        </w:rPr>
        <w:t>）。经盘点清查，</w:t>
      </w:r>
      <w:r>
        <w:rPr>
          <w:rFonts w:eastAsia="仿宋_GB2312" w:cs="Times New Roman" w:hint="eastAsia"/>
          <w:color w:val="000000"/>
          <w:kern w:val="0"/>
          <w:sz w:val="32"/>
          <w:szCs w:val="32"/>
          <w:shd w:val="clear" w:color="auto" w:fill="FFFFFF"/>
          <w:lang w:eastAsia="zh-CN"/>
        </w:rPr>
        <w:t>单位</w:t>
      </w:r>
      <w:r>
        <w:rPr>
          <w:rFonts w:ascii="Times New Roman" w:eastAsia="仿宋_GB2312" w:cs="Times New Roman" w:hAnsi="Times New Roman"/>
          <w:color w:val="000000"/>
          <w:kern w:val="0"/>
          <w:sz w:val="32"/>
          <w:szCs w:val="32"/>
          <w:shd w:val="clear" w:color="auto" w:fill="FFFFFF"/>
        </w:rPr>
        <w:t>无闲置资产</w:t>
      </w:r>
      <w:r>
        <w:rPr>
          <w:rFonts w:ascii="Times New Roman" w:eastAsia="仿宋_GB2312" w:cs="Times New Roman" w:hAnsi="Times New Roman"/>
          <w:color w:val="000000"/>
          <w:kern w:val="0"/>
          <w:sz w:val="32"/>
          <w:szCs w:val="32"/>
          <w:shd w:val="clear" w:color="auto" w:fill="FFFFFF"/>
          <w:lang w:val="zh-CN"/>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5.</w:t>
      </w:r>
      <w:r>
        <w:rPr>
          <w:rFonts w:ascii="Times New Roman" w:eastAsia="仿宋_GB2312" w:cs="Times New Roman" w:hAnsi="Times New Roman"/>
          <w:color w:val="000000"/>
          <w:kern w:val="0"/>
          <w:sz w:val="32"/>
          <w:szCs w:val="32"/>
          <w:shd w:val="clear" w:color="auto" w:fill="FFFFFF"/>
          <w:lang w:val="zh-CN"/>
        </w:rPr>
        <w:t>采购管理。</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年政府采购实施过程中，</w:t>
      </w:r>
      <w:r>
        <w:rPr>
          <w:rFonts w:ascii="Times New Roman" w:eastAsia="仿宋_GB2312" w:cs="Times New Roman" w:hAnsi="Times New Roman"/>
          <w:color w:val="000000"/>
          <w:kern w:val="0"/>
          <w:sz w:val="32"/>
          <w:szCs w:val="32"/>
          <w:shd w:val="clear" w:color="auto" w:fill="FFFFFF"/>
          <w:lang w:val="zh-CN"/>
        </w:rPr>
        <w:t>严格执行政府采购促进中小企业发展相关管理办法，对适宜由中小企业提供的采购项目和采购包，预留采购份额专门面向中小企业采购，并在采购预算中单独列示。</w:t>
      </w:r>
      <w:r>
        <w:rPr>
          <w:rFonts w:ascii="Times New Roman" w:eastAsia="仿宋_GB2312" w:cs="Times New Roman" w:hAnsi="Times New Roman"/>
          <w:color w:val="000000"/>
          <w:kern w:val="0"/>
          <w:sz w:val="32"/>
          <w:szCs w:val="32"/>
          <w:shd w:val="clear" w:color="auto" w:fill="FFFFFF"/>
        </w:rPr>
        <w:t>全年</w:t>
      </w:r>
      <w:r>
        <w:rPr>
          <w:rFonts w:ascii="Times New Roman" w:eastAsia="仿宋_GB2312" w:cs="Times New Roman" w:hAnsi="Times New Roman"/>
          <w:color w:val="000000"/>
          <w:kern w:val="0"/>
          <w:sz w:val="32"/>
          <w:szCs w:val="32"/>
          <w:shd w:val="clear" w:color="auto" w:fill="FFFFFF"/>
          <w:lang w:val="zh-CN"/>
        </w:rPr>
        <w:t>政府采购均为公车燃油、保险及维修采购，采购预算执行率</w:t>
      </w:r>
      <w:r>
        <w:rPr>
          <w:rFonts w:ascii="Times New Roman" w:eastAsia="仿宋_GB2312" w:cs="Times New Roman" w:hAnsi="Times New Roman"/>
          <w:color w:val="000000"/>
          <w:kern w:val="0"/>
          <w:sz w:val="32"/>
          <w:szCs w:val="32"/>
          <w:shd w:val="clear" w:color="auto" w:fill="FFFFFF"/>
          <w:lang w:val="en-US" w:eastAsia="zh-CN"/>
        </w:rPr>
        <w:t>100</w:t>
      </w:r>
      <w:r>
        <w:rPr>
          <w:rFonts w:ascii="Times New Roman" w:eastAsia="仿宋_GB2312" w:cs="Times New Roman" w:hAnsi="Times New Roman"/>
          <w:color w:val="000000"/>
          <w:kern w:val="0"/>
          <w:sz w:val="32"/>
          <w:szCs w:val="32"/>
          <w:shd w:val="clear" w:color="auto" w:fill="FFFFFF"/>
          <w:lang w:val="zh-CN"/>
        </w:rPr>
        <w:t>%。</w:t>
      </w:r>
    </w:p>
    <w:p>
      <w:pPr>
        <w:widowControl/>
        <w:adjustRightInd w:val="0"/>
        <w:snapToGrid w:val="0"/>
        <w:spacing w:line="360" w:lineRule="auto"/>
        <w:ind w:firstLineChars="200" w:firstLine="640"/>
        <w:contextualSpacing/>
        <w:jc w:val="left"/>
        <w:rPr>
          <w:rFonts w:ascii="Times New Roman" w:cs="Times New Roman" w:hAnsi="Times New Roman"/>
          <w:color w:val="000000"/>
          <w:kern w:val="0"/>
          <w:sz w:val="32"/>
          <w:szCs w:val="32"/>
          <w:shd w:val="clear" w:color="auto" w:fill="FFFFFF"/>
        </w:rPr>
      </w:pPr>
      <w:r>
        <w:rPr>
          <w:rFonts w:ascii="Times New Roman" w:eastAsia="楷体_GB2312" w:cs="Times New Roman" w:hAnsi="Times New Roman"/>
          <w:b/>
          <w:bCs/>
          <w:color w:val="000000"/>
          <w:kern w:val="0"/>
          <w:sz w:val="32"/>
          <w:szCs w:val="32"/>
          <w:shd w:val="clear" w:color="auto" w:fill="FFFFFF"/>
          <w:lang w:val="zh-CN"/>
        </w:rPr>
        <w:t>（二）</w:t>
      </w:r>
      <w:r>
        <w:rPr>
          <w:rFonts w:eastAsia="楷体_GB2312" w:cs="Times New Roman" w:hint="eastAsia"/>
          <w:b/>
          <w:bCs/>
          <w:color w:val="000000"/>
          <w:kern w:val="0"/>
          <w:sz w:val="32"/>
          <w:szCs w:val="32"/>
          <w:shd w:val="clear" w:color="auto" w:fill="FFFFFF"/>
          <w:lang w:val="zh-CN"/>
        </w:rPr>
        <w:t>单位</w:t>
      </w:r>
      <w:r>
        <w:rPr>
          <w:rFonts w:ascii="Times New Roman" w:eastAsia="楷体_GB2312" w:cs="Times New Roman" w:hAnsi="Times New Roman"/>
          <w:b/>
          <w:bCs/>
          <w:color w:val="000000"/>
          <w:kern w:val="0"/>
          <w:sz w:val="32"/>
          <w:szCs w:val="32"/>
          <w:shd w:val="clear" w:color="auto" w:fill="FFFFFF"/>
          <w:lang w:val="zh-CN"/>
        </w:rPr>
        <w:t>预算项目绩效分析。</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highlight w:val="auto"/>
        </w:rPr>
        <w:t>常年项目绩效分析。</w:t>
      </w:r>
      <w:r>
        <w:rPr>
          <w:rFonts w:ascii="Times New Roman" w:eastAsia="仿宋_GB2312" w:cs="Times New Roman" w:hAnsi="Times New Roman"/>
          <w:color w:val="000000"/>
          <w:kern w:val="0"/>
          <w:sz w:val="32"/>
          <w:szCs w:val="32"/>
          <w:shd w:val="clear" w:color="auto" w:fill="FFFFFF"/>
          <w:lang w:val="en-US" w:eastAsia="zh-CN"/>
          <w:highlight w:val="auto"/>
        </w:rPr>
        <w:t>2025年</w:t>
      </w:r>
      <w:r>
        <w:rPr>
          <w:rFonts w:ascii="Times New Roman" w:eastAsia="仿宋_GB2312" w:cs="Times New Roman" w:hAnsi="Times New Roman"/>
          <w:color w:val="000000"/>
          <w:kern w:val="0"/>
          <w:sz w:val="32"/>
          <w:szCs w:val="32"/>
          <w:shd w:val="clear" w:color="auto" w:fill="FFFFFF"/>
          <w:lang w:val="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0</w:t>
      </w:r>
      <w:r>
        <w:rPr>
          <w:rFonts w:ascii="Times New Roman" w:eastAsia="仿宋_GB2312" w:cs="Times New Roman" w:hAnsi="Times New Roman"/>
          <w:color w:val="000000"/>
          <w:kern w:val="0"/>
          <w:sz w:val="32"/>
          <w:szCs w:val="32"/>
          <w:shd w:val="clear" w:color="auto" w:fill="FFFFFF"/>
          <w:lang w:val="zh-CN"/>
          <w:highlight w:val="auto"/>
        </w:rPr>
        <w:t>个。</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highlight w:val="auto"/>
        </w:rPr>
        <w:t>阶段（含一次性）项目绩效分析。</w:t>
      </w:r>
      <w:r>
        <w:rPr>
          <w:rFonts w:ascii="Times New Roman" w:eastAsia="仿宋_GB2312" w:cs="Times New Roman" w:hAnsi="Times New Roman"/>
          <w:color w:val="000000"/>
          <w:kern w:val="0"/>
          <w:sz w:val="32"/>
          <w:szCs w:val="32"/>
          <w:shd w:val="clear" w:color="auto" w:fill="FFFFFF"/>
          <w:lang w:val="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12</w:t>
      </w:r>
      <w:r>
        <w:rPr>
          <w:rFonts w:ascii="Times New Roman" w:eastAsia="仿宋_GB2312" w:cs="Times New Roman" w:hAnsi="Times New Roman"/>
          <w:color w:val="000000"/>
          <w:kern w:val="0"/>
          <w:sz w:val="32"/>
          <w:szCs w:val="32"/>
          <w:shd w:val="clear" w:color="auto" w:fill="FFFFFF"/>
          <w:lang w:val="zh-CN"/>
          <w:highlight w:val="auto"/>
        </w:rPr>
        <w:t>个（不含转移支付项目），分别包括年初安排法律援助项目、法律顾问费项目、公证业务费项目、仲裁业务费项目、市医调委工作经费项目、行政复议规范化建设项目以及入驻政务中心单位租金、物业费及水电费项目；结转上年关工委工作经费项目、重大公共卫生服务项目、重大传染病防控（中央资金）项目；年中新增向上争取资金工作经费、</w:t>
      </w:r>
      <w:r>
        <w:rPr>
          <w:rFonts w:ascii="Times New Roman" w:eastAsia="仿宋_GB2312" w:cs="Times New Roman" w:hAnsi="Times New Roman"/>
          <w:color w:val="000000"/>
          <w:kern w:val="0"/>
          <w:sz w:val="32"/>
          <w:szCs w:val="32"/>
          <w:shd w:val="clear" w:color="auto" w:fill="FFFFFF"/>
          <w:lang w:val="en-US" w:eastAsia="zh-CN"/>
          <w:highlight w:val="auto"/>
        </w:rPr>
        <w:t>2025年</w:t>
      </w:r>
      <w:r>
        <w:rPr>
          <w:rFonts w:ascii="Times New Roman" w:eastAsia="仿宋_GB2312" w:cs="Times New Roman" w:hAnsi="Times New Roman"/>
          <w:color w:val="000000"/>
          <w:kern w:val="0"/>
          <w:sz w:val="32"/>
          <w:szCs w:val="32"/>
          <w:shd w:val="clear" w:color="auto" w:fill="FFFFFF"/>
          <w:lang w:val="zh-CN"/>
          <w:highlight w:val="auto"/>
        </w:rPr>
        <w:t>扫黑除恶项目。项目预算总金额</w:t>
      </w:r>
      <w:r>
        <w:rPr>
          <w:rFonts w:ascii="Times New Roman" w:eastAsia="仿宋_GB2312" w:cs="Times New Roman" w:hAnsi="Times New Roman"/>
          <w:color w:val="000000"/>
          <w:kern w:val="0"/>
          <w:sz w:val="32"/>
          <w:szCs w:val="32"/>
          <w:shd w:val="clear" w:color="auto" w:fill="FFFFFF"/>
          <w:lang w:val="en-US" w:eastAsia="zh-CN"/>
          <w:highlight w:val="auto"/>
        </w:rPr>
        <w:t>133.78</w:t>
      </w:r>
      <w:r>
        <w:rPr>
          <w:rFonts w:ascii="Times New Roman" w:eastAsia="仿宋_GB2312" w:cs="Times New Roman" w:hAnsi="Times New Roman"/>
          <w:color w:val="000000"/>
          <w:kern w:val="0"/>
          <w:sz w:val="32"/>
          <w:szCs w:val="32"/>
          <w:shd w:val="clear" w:color="auto" w:fill="FFFFFF"/>
          <w:lang w:val="zh-CN"/>
          <w:highlight w:val="auto"/>
        </w:rPr>
        <w:t>万元，1—1</w:t>
      </w:r>
      <w:r>
        <w:rPr>
          <w:rFonts w:ascii="Times New Roman" w:eastAsia="仿宋_GB2312" w:cs="Times New Roman" w:hAnsi="Times New Roman"/>
          <w:color w:val="000000"/>
          <w:kern w:val="0"/>
          <w:sz w:val="32"/>
          <w:szCs w:val="32"/>
          <w:shd w:val="clear" w:color="auto" w:fill="FFFFFF"/>
          <w:highlight w:val="auto"/>
        </w:rPr>
        <w:t>2</w:t>
      </w:r>
      <w:r>
        <w:rPr>
          <w:rFonts w:ascii="Times New Roman" w:eastAsia="仿宋_GB2312" w:cs="Times New Roman" w:hAnsi="Times New Roman"/>
          <w:color w:val="000000"/>
          <w:kern w:val="0"/>
          <w:sz w:val="32"/>
          <w:szCs w:val="32"/>
          <w:shd w:val="clear" w:color="auto" w:fill="FFFFFF"/>
          <w:lang w:val="zh-CN"/>
          <w:highlight w:val="auto"/>
        </w:rPr>
        <w:t>月预算执行</w:t>
      </w:r>
      <w:r>
        <w:rPr>
          <w:rFonts w:ascii="Times New Roman" w:eastAsia="仿宋_GB2312" w:cs="Times New Roman" w:hAnsi="Times New Roman"/>
          <w:color w:val="000000"/>
          <w:kern w:val="0"/>
          <w:sz w:val="32"/>
          <w:szCs w:val="32"/>
          <w:shd w:val="clear" w:color="auto" w:fill="FFFFFF"/>
          <w:lang w:val="en-US" w:eastAsia="zh-CN"/>
          <w:highlight w:val="auto"/>
        </w:rPr>
        <w:t>104.86万元，</w:t>
      </w:r>
      <w:r>
        <w:rPr>
          <w:rFonts w:ascii="Times New Roman" w:eastAsia="仿宋_GB2312" w:cs="Times New Roman" w:hAnsi="Times New Roman"/>
          <w:color w:val="000000"/>
          <w:kern w:val="0"/>
          <w:sz w:val="32"/>
          <w:szCs w:val="32"/>
          <w:shd w:val="clear" w:color="auto" w:fill="FFFFFF"/>
          <w:lang w:val="zh-CN"/>
          <w:highlight w:val="auto"/>
        </w:rPr>
        <w:t>总体进度为</w:t>
      </w:r>
      <w:r>
        <w:rPr>
          <w:rFonts w:ascii="Times New Roman" w:eastAsia="仿宋_GB2312" w:cs="Times New Roman" w:hAnsi="Times New Roman"/>
          <w:color w:val="000000"/>
          <w:kern w:val="0"/>
          <w:sz w:val="32"/>
          <w:szCs w:val="32"/>
          <w:shd w:val="clear" w:color="auto" w:fill="FFFFFF"/>
          <w:lang w:val="en-US" w:eastAsia="zh-CN"/>
          <w:highlight w:val="auto"/>
        </w:rPr>
        <w:t>78.38</w:t>
      </w:r>
      <w:r>
        <w:rPr>
          <w:rFonts w:ascii="Times New Roman" w:eastAsia="仿宋_GB2312" w:cs="Times New Roman" w:hAnsi="Times New Roman"/>
          <w:color w:val="000000"/>
          <w:kern w:val="0"/>
          <w:sz w:val="32"/>
          <w:szCs w:val="32"/>
          <w:shd w:val="clear" w:color="auto" w:fill="FFFFFF"/>
          <w:lang w:val="zh-CN"/>
          <w:highlight w:val="auto"/>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1.</w:t>
      </w:r>
      <w:r>
        <w:rPr>
          <w:rFonts w:ascii="Times New Roman" w:eastAsia="仿宋_GB2312" w:cs="Times New Roman" w:hAnsi="Times New Roman"/>
          <w:color w:val="000000"/>
          <w:kern w:val="0"/>
          <w:sz w:val="32"/>
          <w:szCs w:val="32"/>
          <w:shd w:val="clear" w:color="auto" w:fill="FFFFFF"/>
          <w:lang w:val="zh-CN"/>
        </w:rPr>
        <w:t>项目决策。</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lang w:val="zh-CN"/>
        </w:rPr>
        <w:t>预算项目设立按规定履行</w:t>
      </w:r>
      <w:r>
        <w:rPr>
          <w:rFonts w:ascii="Times New Roman" w:eastAsia="仿宋_GB2312" w:cs="Times New Roman" w:hAnsi="Times New Roman"/>
          <w:color w:val="000000"/>
          <w:kern w:val="0"/>
          <w:sz w:val="32"/>
          <w:szCs w:val="32"/>
          <w:shd w:val="clear" w:color="auto" w:fill="FFFFFF"/>
        </w:rPr>
        <w:t>事前</w:t>
      </w:r>
      <w:r>
        <w:rPr>
          <w:rFonts w:ascii="Times New Roman" w:eastAsia="仿宋_GB2312" w:cs="Times New Roman" w:hAnsi="Times New Roman"/>
          <w:color w:val="000000"/>
          <w:kern w:val="0"/>
          <w:sz w:val="32"/>
          <w:szCs w:val="32"/>
          <w:shd w:val="clear" w:color="auto" w:fill="FFFFFF"/>
          <w:lang w:val="zh-CN"/>
        </w:rPr>
        <w:t>评估论证，</w:t>
      </w:r>
      <w:r>
        <w:rPr>
          <w:rFonts w:ascii="Times New Roman" w:eastAsia="仿宋_GB2312" w:cs="Times New Roman" w:hAnsi="Times New Roman"/>
          <w:color w:val="000000"/>
          <w:kern w:val="0"/>
          <w:sz w:val="32"/>
          <w:szCs w:val="32"/>
          <w:shd w:val="clear" w:color="auto" w:fill="FFFFFF"/>
        </w:rPr>
        <w:t>并按照</w:t>
      </w:r>
      <w:r>
        <w:rPr>
          <w:rFonts w:ascii="Times New Roman" w:eastAsia="仿宋_GB2312" w:cs="Times New Roman" w:hAnsi="Times New Roman"/>
          <w:color w:val="000000"/>
          <w:kern w:val="0"/>
          <w:sz w:val="32"/>
          <w:szCs w:val="32"/>
          <w:shd w:val="clear" w:color="auto" w:fill="FFFFFF"/>
          <w:lang w:val="zh-CN"/>
        </w:rPr>
        <w:t>程序</w:t>
      </w:r>
      <w:r>
        <w:rPr>
          <w:rFonts w:ascii="Times New Roman" w:eastAsia="仿宋_GB2312" w:cs="Times New Roman" w:hAnsi="Times New Roman"/>
          <w:color w:val="000000"/>
          <w:kern w:val="0"/>
          <w:sz w:val="32"/>
          <w:szCs w:val="32"/>
          <w:shd w:val="clear" w:color="auto" w:fill="FFFFFF"/>
        </w:rPr>
        <w:t>进行逐级申报</w:t>
      </w:r>
      <w:r>
        <w:rPr>
          <w:rFonts w:ascii="Times New Roman" w:eastAsia="仿宋_GB2312" w:cs="Times New Roman" w:hAnsi="Times New Roman"/>
          <w:color w:val="000000"/>
          <w:kern w:val="0"/>
          <w:sz w:val="32"/>
          <w:szCs w:val="32"/>
          <w:shd w:val="clear" w:color="auto" w:fill="FFFFFF"/>
          <w:lang w:val="zh-CN"/>
        </w:rPr>
        <w:t>。</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lang w:val="zh-CN"/>
        </w:rPr>
        <w:t>预算项目绩效目标与计划期内的任务量、预算安排的资金量</w:t>
      </w:r>
      <w:r>
        <w:rPr>
          <w:rFonts w:ascii="Times New Roman" w:eastAsia="仿宋_GB2312" w:cs="Times New Roman" w:hAnsi="Times New Roman"/>
          <w:color w:val="000000"/>
          <w:kern w:val="0"/>
          <w:sz w:val="32"/>
          <w:szCs w:val="32"/>
          <w:shd w:val="clear" w:color="auto" w:fill="FFFFFF"/>
        </w:rPr>
        <w:t>尽可能做到相</w:t>
      </w:r>
      <w:r>
        <w:rPr>
          <w:rFonts w:ascii="Times New Roman" w:eastAsia="仿宋_GB2312" w:cs="Times New Roman" w:hAnsi="Times New Roman"/>
          <w:color w:val="000000"/>
          <w:kern w:val="0"/>
          <w:sz w:val="32"/>
          <w:szCs w:val="32"/>
          <w:shd w:val="clear" w:color="auto" w:fill="FFFFFF"/>
          <w:lang w:val="zh-CN"/>
        </w:rPr>
        <w:t>匹配。绩效目标设置</w:t>
      </w:r>
      <w:r>
        <w:rPr>
          <w:rFonts w:ascii="Times New Roman" w:eastAsia="仿宋_GB2312" w:cs="Times New Roman" w:hAnsi="Times New Roman"/>
          <w:color w:val="000000"/>
          <w:kern w:val="0"/>
          <w:sz w:val="32"/>
          <w:szCs w:val="32"/>
          <w:shd w:val="clear" w:color="auto" w:fill="FFFFFF"/>
        </w:rPr>
        <w:t>根据项目实际情况及特点努力做到</w:t>
      </w:r>
      <w:r>
        <w:rPr>
          <w:rFonts w:ascii="Times New Roman" w:eastAsia="仿宋_GB2312" w:cs="Times New Roman" w:hAnsi="Times New Roman"/>
          <w:color w:val="000000"/>
          <w:kern w:val="0"/>
          <w:sz w:val="32"/>
          <w:szCs w:val="32"/>
          <w:shd w:val="clear" w:color="auto" w:fill="FFFFFF"/>
          <w:lang w:val="zh-CN"/>
        </w:rPr>
        <w:t>科学合理、规范完整、量化细化、预算匹配。</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lang w:val="zh-CN"/>
        </w:rPr>
        <w:t>预算项目</w:t>
      </w:r>
      <w:r>
        <w:rPr>
          <w:rFonts w:ascii="Times New Roman" w:eastAsia="仿宋_GB2312" w:cs="Times New Roman" w:hAnsi="Times New Roman"/>
          <w:color w:val="000000"/>
          <w:kern w:val="0"/>
          <w:sz w:val="32"/>
          <w:szCs w:val="32"/>
          <w:shd w:val="clear" w:color="auto" w:fill="FFFFFF"/>
        </w:rPr>
        <w:t>均</w:t>
      </w:r>
      <w:r>
        <w:rPr>
          <w:rFonts w:ascii="Times New Roman" w:eastAsia="仿宋_GB2312" w:cs="Times New Roman" w:hAnsi="Times New Roman"/>
          <w:color w:val="000000"/>
          <w:kern w:val="0"/>
          <w:sz w:val="32"/>
          <w:szCs w:val="32"/>
          <w:shd w:val="clear" w:color="auto" w:fill="FFFFFF"/>
          <w:lang w:val="zh-CN"/>
        </w:rPr>
        <w:t>在规定时间完成项目入库。</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rPr>
        <w:t>2.项目执行</w:t>
      </w:r>
      <w:r>
        <w:rPr>
          <w:rFonts w:ascii="Times New Roman" w:eastAsia="仿宋_GB2312" w:cs="Times New Roman" w:hAnsi="Times New Roman"/>
          <w:color w:val="000000"/>
          <w:kern w:val="0"/>
          <w:sz w:val="32"/>
          <w:szCs w:val="32"/>
          <w:shd w:val="clear" w:color="auto" w:fill="FFFFFF"/>
          <w:lang w:val="zh-CN"/>
        </w:rPr>
        <w:t>。</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lang w:val="zh-CN"/>
        </w:rPr>
        <w:t>预算项目实际列支内容与绩效目标设置方向相符。</w:t>
      </w:r>
      <w:r>
        <w:rPr>
          <w:rFonts w:ascii="Times New Roman" w:eastAsia="仿宋_GB2312" w:cs="Times New Roman" w:hAnsi="Times New Roman"/>
          <w:color w:val="000000"/>
          <w:kern w:val="0"/>
          <w:sz w:val="32"/>
          <w:szCs w:val="32"/>
          <w:shd w:val="clear" w:color="auto" w:fill="FFFFFF"/>
        </w:rPr>
        <w:t>预算项目执行过程中，根据实际情况变化</w:t>
      </w:r>
      <w:r>
        <w:rPr>
          <w:rFonts w:ascii="Times New Roman" w:eastAsia="仿宋_GB2312" w:cs="Times New Roman" w:hAnsi="Times New Roman"/>
          <w:color w:val="000000"/>
          <w:kern w:val="0"/>
          <w:sz w:val="32"/>
          <w:szCs w:val="32"/>
          <w:shd w:val="clear" w:color="auto" w:fill="FFFFFF"/>
          <w:lang w:val="zh-CN"/>
        </w:rPr>
        <w:t>采取对应调整措施，</w:t>
      </w:r>
      <w:r>
        <w:rPr>
          <w:rFonts w:ascii="Times New Roman" w:eastAsia="仿宋_GB2312" w:cs="Times New Roman" w:hAnsi="Times New Roman"/>
          <w:color w:val="000000"/>
          <w:kern w:val="0"/>
          <w:sz w:val="32"/>
          <w:szCs w:val="32"/>
          <w:shd w:val="clear" w:color="auto" w:fill="FFFFFF"/>
        </w:rPr>
        <w:t>确保项目顺利实施并取得预期成效</w:t>
      </w:r>
      <w:r>
        <w:rPr>
          <w:rFonts w:ascii="Times New Roman" w:eastAsia="仿宋_GB2312" w:cs="Times New Roman" w:hAnsi="Times New Roman"/>
          <w:color w:val="000000"/>
          <w:kern w:val="0"/>
          <w:sz w:val="32"/>
          <w:szCs w:val="32"/>
          <w:shd w:val="clear" w:color="auto" w:fill="FFFFFF"/>
          <w:lang w:val="zh-CN"/>
        </w:rPr>
        <w:t>。</w:t>
      </w:r>
      <w:r>
        <w:rPr>
          <w:rFonts w:ascii="Times New Roman" w:eastAsia="仿宋_GB2312" w:cs="Times New Roman" w:hAnsi="Times New Roman"/>
          <w:color w:val="000000"/>
          <w:kern w:val="0"/>
          <w:sz w:val="32"/>
          <w:szCs w:val="32"/>
          <w:shd w:val="clear" w:color="auto" w:fill="FFFFFF"/>
          <w:lang w:val="en-US" w:eastAsia="zh-CN"/>
          <w:highlight w:val="auto"/>
        </w:rPr>
        <w:t>2025年部分项目</w:t>
      </w:r>
      <w:r>
        <w:rPr>
          <w:rFonts w:ascii="Times New Roman" w:eastAsia="仿宋_GB2312" w:cs="Times New Roman" w:hAnsi="Times New Roman"/>
          <w:color w:val="000000"/>
          <w:kern w:val="0"/>
          <w:sz w:val="32"/>
          <w:szCs w:val="32"/>
          <w:shd w:val="clear" w:color="auto" w:fill="FFFFFF"/>
          <w:lang w:val="zh-CN"/>
          <w:highlight w:val="auto"/>
        </w:rPr>
        <w:t>未形成支付，主要包括扫黑除恶经费</w:t>
      </w:r>
      <w:r>
        <w:rPr>
          <w:rFonts w:ascii="Times New Roman" w:eastAsia="仿宋_GB2312" w:cs="Times New Roman" w:hAnsi="Times New Roman"/>
          <w:color w:val="000000"/>
          <w:kern w:val="0"/>
          <w:sz w:val="32"/>
          <w:szCs w:val="32"/>
          <w:shd w:val="clear" w:color="auto" w:fill="FFFFFF"/>
          <w:lang w:val="en-US" w:eastAsia="zh-CN"/>
          <w:highlight w:val="auto"/>
        </w:rPr>
        <w:t>12万元、</w:t>
      </w:r>
      <w:r>
        <w:rPr>
          <w:rFonts w:ascii="Times New Roman" w:eastAsia="仿宋_GB2312" w:cs="Times New Roman" w:hAnsi="Times New Roman"/>
          <w:color w:val="000000"/>
          <w:kern w:val="0"/>
          <w:sz w:val="32"/>
          <w:szCs w:val="32"/>
          <w:shd w:val="clear" w:color="auto" w:fill="FFFFFF"/>
          <w:lang w:val="zh-CN"/>
          <w:highlight w:val="auto"/>
        </w:rPr>
        <w:t>行政复议规范化建设</w:t>
      </w:r>
      <w:r>
        <w:rPr>
          <w:rFonts w:ascii="Times New Roman" w:eastAsia="仿宋_GB2312" w:cs="Times New Roman" w:hAnsi="Times New Roman"/>
          <w:color w:val="000000"/>
          <w:kern w:val="0"/>
          <w:sz w:val="32"/>
          <w:szCs w:val="32"/>
          <w:shd w:val="clear" w:color="auto" w:fill="FFFFFF"/>
          <w:lang w:val="en-US" w:eastAsia="zh-CN"/>
          <w:highlight w:val="auto"/>
        </w:rPr>
        <w:t>10万元、向上争取资金工作经费5万元和</w:t>
      </w:r>
      <w:r>
        <w:rPr>
          <w:rFonts w:ascii="Times New Roman" w:eastAsia="仿宋_GB2312" w:cs="Times New Roman" w:hAnsi="Times New Roman"/>
          <w:color w:val="000000"/>
          <w:kern w:val="0"/>
          <w:sz w:val="32"/>
          <w:szCs w:val="32"/>
          <w:shd w:val="clear" w:color="auto" w:fill="FFFFFF"/>
          <w:lang w:val="zh-CN"/>
          <w:highlight w:val="auto"/>
        </w:rPr>
        <w:t>重大公共卫生服务项目</w:t>
      </w:r>
      <w:r>
        <w:rPr>
          <w:rFonts w:ascii="Times New Roman" w:eastAsia="仿宋_GB2312" w:cs="Times New Roman" w:hAnsi="Times New Roman"/>
          <w:color w:val="000000"/>
          <w:kern w:val="0"/>
          <w:sz w:val="32"/>
          <w:szCs w:val="32"/>
          <w:shd w:val="clear" w:color="auto" w:fill="FFFFFF"/>
          <w:lang w:val="en-US" w:eastAsia="zh-CN"/>
          <w:highlight w:val="auto"/>
        </w:rPr>
        <w:t>1万元</w:t>
      </w:r>
      <w:r>
        <w:rPr>
          <w:rFonts w:ascii="Times New Roman" w:eastAsia="仿宋_GB2312" w:cs="Times New Roman" w:hAnsi="Times New Roman"/>
          <w:color w:val="000000"/>
          <w:kern w:val="0"/>
          <w:sz w:val="32"/>
          <w:szCs w:val="32"/>
          <w:shd w:val="clear" w:color="auto" w:fill="FFFFFF"/>
          <w:lang w:val="zh-CN"/>
          <w:highlight w:val="auto"/>
        </w:rPr>
        <w:t>。</w:t>
      </w:r>
    </w:p>
    <w:p>
      <w:pPr>
        <w:adjustRightInd w:val="0"/>
        <w:snapToGrid w:val="0"/>
        <w:spacing w:line="360" w:lineRule="auto"/>
        <w:ind w:firstLineChars="200" w:firstLine="640"/>
        <w:contextualSpacing/>
        <w:jc w:val="left"/>
        <w:rPr>
          <w:rFonts w:ascii="Times New Roman" w:eastAsia="仿宋_GB2312" w:cs="Times New Roman" w:hAnsi="Times New Roman"/>
          <w:color w:val="000000"/>
          <w:kern w:val="0"/>
          <w:sz w:val="32"/>
          <w:szCs w:val="32"/>
          <w:shd w:val="clear" w:color="auto" w:fill="FFFFFF"/>
          <w:lang w:val="zh-CN"/>
        </w:rPr>
      </w:pPr>
      <w:r>
        <w:rPr>
          <w:rFonts w:ascii="Times New Roman" w:eastAsia="仿宋_GB2312" w:cs="Times New Roman" w:hAnsi="Times New Roman"/>
          <w:color w:val="000000"/>
          <w:kern w:val="0"/>
          <w:sz w:val="32"/>
          <w:szCs w:val="32"/>
          <w:shd w:val="clear" w:color="auto" w:fill="FFFFFF"/>
        </w:rPr>
        <w:t>3.</w:t>
      </w:r>
      <w:r>
        <w:rPr>
          <w:rFonts w:ascii="Times New Roman" w:eastAsia="仿宋_GB2312" w:cs="Times New Roman" w:hAnsi="Times New Roman"/>
          <w:color w:val="000000"/>
          <w:kern w:val="0"/>
          <w:sz w:val="32"/>
          <w:szCs w:val="32"/>
          <w:shd w:val="clear" w:color="auto" w:fill="FFFFFF"/>
          <w:lang w:val="zh-CN"/>
        </w:rPr>
        <w:t>目标实现。</w:t>
      </w:r>
      <w:r>
        <w:rPr>
          <w:rFonts w:ascii="Times New Roman" w:eastAsia="仿宋_GB2312" w:cs="Times New Roman" w:hAnsi="Times New Roman"/>
          <w:color w:val="000000"/>
          <w:kern w:val="0"/>
          <w:sz w:val="32"/>
          <w:szCs w:val="32"/>
          <w:shd w:val="clear" w:color="auto" w:fill="FFFFFF"/>
        </w:rPr>
        <w:t>202</w:t>
      </w:r>
      <w:r>
        <w:rPr>
          <w:rFonts w:ascii="Times New Roman" w:eastAsia="仿宋_GB2312" w:cs="Times New Roman" w:hAnsi="Times New Roman"/>
          <w:color w:val="000000"/>
          <w:kern w:val="0"/>
          <w:sz w:val="32"/>
          <w:szCs w:val="32"/>
          <w:shd w:val="clear" w:color="auto" w:fill="FFFFFF"/>
          <w:lang w:val="en-US" w:eastAsia="zh-CN"/>
        </w:rPr>
        <w:t>5</w:t>
      </w:r>
      <w:r>
        <w:rPr>
          <w:rFonts w:ascii="Times New Roman" w:eastAsia="仿宋_GB2312" w:cs="Times New Roman" w:hAnsi="Times New Roman"/>
          <w:color w:val="000000"/>
          <w:kern w:val="0"/>
          <w:sz w:val="32"/>
          <w:szCs w:val="32"/>
          <w:shd w:val="clear" w:color="auto" w:fill="FFFFFF"/>
        </w:rPr>
        <w:t>年</w:t>
      </w:r>
      <w:r>
        <w:rPr>
          <w:rFonts w:eastAsia="仿宋_GB2312" w:cs="Times New Roman" w:hint="eastAsia"/>
          <w:color w:val="000000"/>
          <w:kern w:val="0"/>
          <w:sz w:val="32"/>
          <w:szCs w:val="32"/>
          <w:shd w:val="clear" w:color="auto" w:fill="FFFFFF"/>
          <w:lang w:val="zh-CN"/>
        </w:rPr>
        <w:t>单位</w:t>
      </w:r>
      <w:r>
        <w:rPr>
          <w:rFonts w:ascii="Times New Roman" w:eastAsia="仿宋_GB2312" w:cs="Times New Roman" w:hAnsi="Times New Roman"/>
          <w:color w:val="000000"/>
          <w:kern w:val="0"/>
          <w:sz w:val="32"/>
          <w:szCs w:val="32"/>
          <w:shd w:val="clear" w:color="auto" w:fill="FFFFFF"/>
          <w:lang w:val="zh-CN"/>
        </w:rPr>
        <w:t>预算项目绩效目标</w:t>
      </w:r>
      <w:r>
        <w:rPr>
          <w:rFonts w:ascii="Times New Roman" w:eastAsia="仿宋_GB2312" w:cs="Times New Roman" w:hAnsi="Times New Roman"/>
          <w:color w:val="000000"/>
          <w:kern w:val="0"/>
          <w:sz w:val="32"/>
          <w:szCs w:val="32"/>
          <w:shd w:val="clear" w:color="auto" w:fill="FFFFFF"/>
        </w:rPr>
        <w:t>全部达成，</w:t>
      </w:r>
      <w:r>
        <w:rPr>
          <w:rFonts w:ascii="Times New Roman" w:eastAsia="仿宋_GB2312" w:cs="Times New Roman" w:hAnsi="Times New Roman"/>
          <w:color w:val="000000"/>
          <w:kern w:val="0"/>
          <w:sz w:val="32"/>
          <w:szCs w:val="32"/>
          <w:shd w:val="clear" w:color="auto" w:fill="FFFFFF"/>
          <w:lang w:val="zh-CN"/>
        </w:rPr>
        <w:t>实现程度与预期目标</w:t>
      </w:r>
      <w:r>
        <w:rPr>
          <w:rFonts w:ascii="Times New Roman" w:eastAsia="仿宋_GB2312" w:cs="Times New Roman" w:hAnsi="Times New Roman"/>
          <w:color w:val="000000"/>
          <w:kern w:val="0"/>
          <w:sz w:val="32"/>
          <w:szCs w:val="32"/>
          <w:shd w:val="clear" w:color="auto" w:fill="FFFFFF"/>
        </w:rPr>
        <w:t>无偏离，各项效益指标均已实现</w:t>
      </w:r>
      <w:r>
        <w:rPr>
          <w:rFonts w:ascii="Times New Roman" w:eastAsia="仿宋_GB2312" w:cs="Times New Roman" w:hAnsi="Times New Roman"/>
          <w:color w:val="000000"/>
          <w:kern w:val="0"/>
          <w:sz w:val="32"/>
          <w:szCs w:val="32"/>
          <w:shd w:val="clear" w:color="auto" w:fill="FFFFFF"/>
          <w:lang w:val="zh-CN"/>
        </w:rPr>
        <w:t>。</w:t>
      </w:r>
    </w:p>
    <w:p>
      <w:pPr>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年度攀枝花市司法局无政府性基金预算、国有资本经营预算安排的常年项目、阶段项目，未安排有债券资金。中央和省级转移支付项目已按照上级主管</w:t>
      </w:r>
      <w:r>
        <w:rPr>
          <w:rFonts w:eastAsia="仿宋_GB2312" w:cs="Times New Roman" w:hint="eastAsia"/>
          <w:sz w:val="32"/>
          <w:szCs w:val="32"/>
          <w:lang w:eastAsia="zh-CN"/>
        </w:rPr>
        <w:t>单位</w:t>
      </w:r>
      <w:r>
        <w:rPr>
          <w:rFonts w:ascii="Times New Roman" w:eastAsia="仿宋_GB2312" w:cs="Times New Roman" w:hAnsi="Times New Roman"/>
          <w:sz w:val="32"/>
          <w:szCs w:val="32"/>
        </w:rPr>
        <w:t>要求，汇总全市司法行政系统相关数据单独开展绩效自评工作。</w:t>
      </w:r>
    </w:p>
    <w:p>
      <w:pPr>
        <w:snapToGrid w:val="0"/>
        <w:spacing w:line="360" w:lineRule="auto"/>
        <w:ind w:firstLineChars="200" w:firstLine="640"/>
        <w:rPr>
          <w:rFonts w:ascii="Times New Roman" w:eastAsia="楷体_GB2312" w:cs="Times New Roman" w:hAnsi="Times New Roman"/>
          <w:b/>
          <w:bCs/>
          <w:sz w:val="32"/>
          <w:szCs w:val="32"/>
          <w:lang w:val="zh-CN"/>
        </w:rPr>
      </w:pPr>
      <w:r>
        <w:rPr>
          <w:rFonts w:ascii="Times New Roman" w:eastAsia="楷体_GB2312" w:cs="Times New Roman" w:hAnsi="Times New Roman"/>
          <w:b/>
          <w:bCs/>
          <w:color w:val="000000"/>
          <w:kern w:val="0"/>
          <w:sz w:val="32"/>
          <w:szCs w:val="32"/>
          <w:shd w:val="clear" w:color="auto" w:fill="FFFFFF"/>
          <w:lang w:val="zh-CN"/>
        </w:rPr>
        <w:t>（三）</w:t>
      </w:r>
      <w:r>
        <w:rPr>
          <w:rFonts w:ascii="Times New Roman" w:eastAsia="楷体_GB2312" w:cs="Times New Roman" w:hAnsi="Times New Roman"/>
          <w:b/>
          <w:bCs/>
          <w:sz w:val="32"/>
          <w:szCs w:val="32"/>
          <w:lang w:val="zh-CN"/>
        </w:rPr>
        <w:t>绩效结果应用情况。</w:t>
      </w:r>
    </w:p>
    <w:p>
      <w:pPr>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按照绩效管理的相关要求，攀枝花市司法局将整体支出绩效目标评价纳入到单位内部控制管理和考核体系当中，认真组织整体支出绩效目标评价，并将</w:t>
      </w:r>
      <w:r>
        <w:rPr>
          <w:rFonts w:eastAsia="仿宋_GB2312" w:cs="Times New Roman" w:hint="eastAsia"/>
          <w:sz w:val="32"/>
          <w:szCs w:val="32"/>
          <w:lang w:eastAsia="zh-CN"/>
        </w:rPr>
        <w:t>单位</w:t>
      </w:r>
      <w:r>
        <w:rPr>
          <w:rFonts w:ascii="Times New Roman" w:eastAsia="仿宋_GB2312" w:cs="Times New Roman" w:hAnsi="Times New Roman"/>
          <w:sz w:val="32"/>
          <w:szCs w:val="32"/>
        </w:rPr>
        <w:t>预算资金使用情况和绩效目标评价结果进行信息公开，对出现绩效目标偏差的情况进行分析，拟定针对性措施及时纠偏。同时，当年整体支出绩效目标评价也将应用于第二年</w:t>
      </w:r>
      <w:r>
        <w:rPr>
          <w:rFonts w:eastAsia="仿宋_GB2312" w:cs="Times New Roman" w:hint="eastAsia"/>
          <w:sz w:val="32"/>
          <w:szCs w:val="32"/>
          <w:lang w:eastAsia="zh-CN"/>
        </w:rPr>
        <w:t>单位</w:t>
      </w:r>
      <w:r>
        <w:rPr>
          <w:rFonts w:ascii="Times New Roman" w:eastAsia="仿宋_GB2312" w:cs="Times New Roman" w:hAnsi="Times New Roman"/>
          <w:sz w:val="32"/>
          <w:szCs w:val="32"/>
        </w:rPr>
        <w:t>预算编制和绩效目标设定，确保</w:t>
      </w:r>
      <w:r>
        <w:rPr>
          <w:rFonts w:eastAsia="仿宋_GB2312" w:cs="Times New Roman" w:hint="eastAsia"/>
          <w:sz w:val="32"/>
          <w:szCs w:val="32"/>
          <w:lang w:eastAsia="zh-CN"/>
        </w:rPr>
        <w:t>单位</w:t>
      </w:r>
      <w:r>
        <w:rPr>
          <w:rFonts w:ascii="Times New Roman" w:eastAsia="仿宋_GB2312" w:cs="Times New Roman" w:hAnsi="Times New Roman"/>
          <w:sz w:val="32"/>
          <w:szCs w:val="32"/>
        </w:rPr>
        <w:t>预算编制和绩效目标设定更加科学、客观、符合实际，发挥财政资金最大效益。</w:t>
      </w:r>
    </w:p>
    <w:p>
      <w:pPr>
        <w:widowControl/>
        <w:adjustRightInd w:val="0"/>
        <w:snapToGrid w:val="0"/>
        <w:spacing w:line="360" w:lineRule="auto"/>
        <w:ind w:firstLineChars="200" w:firstLine="640"/>
        <w:contextualSpacing/>
        <w:jc w:val="left"/>
        <w:rPr>
          <w:rFonts w:ascii="Times New Roman" w:eastAsia="黑体" w:cs="Times New Roman" w:hAnsi="Times New Roman"/>
          <w:color w:val="000000"/>
          <w:kern w:val="0"/>
          <w:sz w:val="32"/>
          <w:szCs w:val="32"/>
          <w:shd w:val="clear" w:color="auto" w:fill="FFFFFF"/>
        </w:rPr>
      </w:pPr>
      <w:bookmarkStart w:id="117" w:name="_Toc1317427968_WPSOffice_Level2"/>
      <w:r>
        <w:rPr>
          <w:rFonts w:ascii="Times New Roman" w:eastAsia="黑体" w:cs="Times New Roman" w:hAnsi="Times New Roman"/>
          <w:color w:val="000000"/>
          <w:kern w:val="0"/>
          <w:sz w:val="32"/>
          <w:szCs w:val="32"/>
          <w:shd w:val="clear" w:color="auto" w:fill="FFFFFF"/>
        </w:rPr>
        <w:t>四、评价结论及建议</w:t>
      </w:r>
      <w:bookmarkEnd w:id="117"/>
    </w:p>
    <w:p>
      <w:pPr>
        <w:widowControl/>
        <w:autoSpaceDN w:val="0"/>
        <w:adjustRightInd w:val="0"/>
        <w:snapToGrid w:val="0"/>
        <w:spacing w:line="360" w:lineRule="auto"/>
        <w:ind w:firstLineChars="200" w:firstLine="640"/>
        <w:rPr>
          <w:rFonts w:ascii="Times New Roman" w:cs="Times New Roman" w:hAnsi="Times New Roman"/>
          <w:kern w:val="0"/>
          <w:sz w:val="32"/>
          <w:szCs w:val="32"/>
        </w:rPr>
      </w:pPr>
      <w:r>
        <w:rPr>
          <w:rFonts w:ascii="Times New Roman" w:eastAsia="楷体_GB2312" w:cs="Times New Roman" w:hAnsi="Times New Roman"/>
          <w:b/>
          <w:bCs/>
          <w:color w:val="000000"/>
          <w:kern w:val="0"/>
          <w:sz w:val="32"/>
          <w:szCs w:val="32"/>
          <w:shd w:val="clear" w:color="auto" w:fill="FFFFFF"/>
          <w:lang w:val="zh-CN"/>
        </w:rPr>
        <w:t>（一）评价结论。</w:t>
      </w:r>
    </w:p>
    <w:p>
      <w:pPr>
        <w:pStyle w:val="16"/>
        <w:spacing w:line="360" w:lineRule="auto"/>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按照政府会计制度，攀枝花市司法局科学、合理编制</w:t>
      </w:r>
      <w:r>
        <w:rPr>
          <w:rFonts w:ascii="Times New Roman" w:cs="Times New Roman" w:hAnsi="Times New Roman" w:hint="eastAsia"/>
          <w:sz w:val="32"/>
          <w:szCs w:val="32"/>
          <w:lang w:eastAsia="zh-CN"/>
        </w:rPr>
        <w:t>单位</w:t>
      </w:r>
      <w:r>
        <w:rPr>
          <w:rFonts w:ascii="Times New Roman" w:eastAsia="仿宋_GB2312" w:cs="Times New Roman" w:hAnsi="Times New Roman"/>
          <w:sz w:val="32"/>
          <w:szCs w:val="32"/>
        </w:rPr>
        <w:t>预算和设定整体支出绩效目标，在预算执行过程中严格执行财经纪律相关规定，坚持预算执行和绩效目标过程监控，较好地完成了绩效目标管理各项要求，顺利完成了202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w:t>
      </w:r>
      <w:r>
        <w:rPr>
          <w:rFonts w:ascii="Times New Roman" w:cs="Times New Roman" w:hAnsi="Times New Roman" w:hint="eastAsia"/>
          <w:sz w:val="32"/>
          <w:szCs w:val="32"/>
          <w:lang w:eastAsia="zh-CN"/>
        </w:rPr>
        <w:t>单位</w:t>
      </w:r>
      <w:r>
        <w:rPr>
          <w:rFonts w:ascii="Times New Roman" w:eastAsia="仿宋_GB2312" w:cs="Times New Roman" w:hAnsi="Times New Roman"/>
          <w:sz w:val="32"/>
          <w:szCs w:val="32"/>
        </w:rPr>
        <w:t>整体支出绩效目标，充分发挥了财政资金效能，有效推动司法行政业务工作，高效统筹法治攀枝花建设，切实履行行政立法、行政执法、刑事执行和公共法律服务职能，积极化解社会矛盾纠纷，不断优化营商环境，护航攀枝花高质量发展建设共同富裕实验区。202</w:t>
      </w:r>
      <w:r>
        <w:rPr>
          <w:rFonts w:ascii="Times New Roman" w:eastAsia="仿宋_GB2312" w:cs="Times New Roman" w:hAnsi="Times New Roman"/>
          <w:sz w:val="32"/>
          <w:szCs w:val="32"/>
          <w:lang w:val="en-US" w:eastAsia="zh-CN"/>
        </w:rPr>
        <w:t>5</w:t>
      </w:r>
      <w:r>
        <w:rPr>
          <w:rFonts w:ascii="Times New Roman" w:eastAsia="仿宋_GB2312" w:cs="Times New Roman" w:hAnsi="Times New Roman"/>
          <w:sz w:val="32"/>
          <w:szCs w:val="32"/>
        </w:rPr>
        <w:t>年度</w:t>
      </w:r>
      <w:r>
        <w:rPr>
          <w:rFonts w:ascii="Times New Roman" w:cs="Times New Roman" w:hAnsi="Times New Roman" w:hint="eastAsia"/>
          <w:sz w:val="32"/>
          <w:szCs w:val="32"/>
          <w:lang w:eastAsia="zh-CN"/>
        </w:rPr>
        <w:t>单位</w:t>
      </w:r>
      <w:r>
        <w:rPr>
          <w:rFonts w:ascii="Times New Roman" w:eastAsia="仿宋_GB2312" w:cs="Times New Roman" w:hAnsi="Times New Roman"/>
          <w:sz w:val="32"/>
          <w:szCs w:val="32"/>
        </w:rPr>
        <w:t>预算绩效自评得分</w:t>
      </w:r>
      <w:r>
        <w:rPr>
          <w:rFonts w:ascii="Times New Roman" w:eastAsia="仿宋_GB2312" w:cs="Times New Roman" w:hAnsi="Times New Roman"/>
          <w:sz w:val="32"/>
          <w:szCs w:val="32"/>
          <w:lang w:val="en-US" w:eastAsia="zh-CN"/>
        </w:rPr>
        <w:t>96.44</w:t>
      </w:r>
      <w:r>
        <w:rPr>
          <w:rFonts w:ascii="Times New Roman" w:eastAsia="仿宋_GB2312" w:cs="Times New Roman" w:hAnsi="Times New Roman"/>
          <w:sz w:val="32"/>
          <w:szCs w:val="32"/>
        </w:rPr>
        <w:t>分。</w:t>
      </w:r>
    </w:p>
    <w:p>
      <w:pPr>
        <w:widowControl/>
        <w:adjustRightInd w:val="0"/>
        <w:snapToGrid w:val="0"/>
        <w:spacing w:line="360" w:lineRule="auto"/>
        <w:ind w:firstLineChars="200" w:firstLine="640"/>
        <w:contextualSpacing/>
        <w:jc w:val="left"/>
        <w:rPr>
          <w:rFonts w:ascii="Times New Roman" w:cs="Times New Roman" w:hAnsi="Times New Roman"/>
          <w:w w:val="95"/>
          <w:kern w:val="0"/>
          <w:sz w:val="32"/>
          <w:szCs w:val="32"/>
        </w:rPr>
      </w:pPr>
      <w:r>
        <w:rPr>
          <w:rFonts w:ascii="Times New Roman" w:eastAsia="楷体_GB2312" w:cs="Times New Roman" w:hAnsi="Times New Roman"/>
          <w:b/>
          <w:bCs/>
          <w:color w:val="000000"/>
          <w:kern w:val="0"/>
          <w:sz w:val="32"/>
          <w:szCs w:val="32"/>
          <w:shd w:val="clear" w:color="auto" w:fill="FFFFFF"/>
          <w:lang w:val="zh-CN"/>
        </w:rPr>
        <w:t>（二）存在问题。</w:t>
      </w:r>
    </w:p>
    <w:p>
      <w:pPr>
        <w:widowControl/>
        <w:adjustRightInd w:val="0"/>
        <w:snapToGrid w:val="0"/>
        <w:spacing w:line="360" w:lineRule="auto"/>
        <w:ind w:firstLineChars="200" w:firstLine="640"/>
        <w:contextualSpacing/>
        <w:jc w:val="left"/>
        <w:rPr>
          <w:rFonts w:ascii="Times New Roman" w:eastAsia="仿宋_GB2312" w:cs="Times New Roman" w:hAnsi="Times New Roman"/>
          <w:b/>
          <w:bCs/>
          <w:color w:val="000000"/>
          <w:kern w:val="0"/>
          <w:sz w:val="32"/>
          <w:szCs w:val="32"/>
          <w:shd w:val="clear" w:color="auto" w:fill="FFFFFF"/>
          <w:lang w:val="zh-CN" w:eastAsia="zh-CN"/>
        </w:rPr>
      </w:pPr>
      <w:r>
        <w:rPr>
          <w:rFonts w:ascii="Times New Roman" w:eastAsia="仿宋_GB2312" w:cs="Times New Roman" w:hAnsi="Times New Roman"/>
          <w:sz w:val="32"/>
          <w:szCs w:val="32"/>
          <w:lang w:eastAsia="zh-CN"/>
        </w:rPr>
        <w:t>一是个别项目实施进度滞后。行政复议规范化建设项目，</w:t>
      </w:r>
      <w:r>
        <w:rPr>
          <w:rFonts w:ascii="Times New Roman" w:eastAsia="仿宋_GB2312" w:cs="Times New Roman" w:hAnsi="Times New Roman"/>
          <w:sz w:val="32"/>
          <w:szCs w:val="32"/>
          <w:lang w:val="en-US" w:eastAsia="zh-CN"/>
        </w:rPr>
        <w:t>2025年已完成前期规划设计和施工概算，但</w:t>
      </w:r>
      <w:r>
        <w:rPr>
          <w:rFonts w:ascii="Times New Roman" w:eastAsia="仿宋_GB2312" w:cs="Times New Roman" w:hAnsi="Times New Roman"/>
          <w:sz w:val="32"/>
          <w:szCs w:val="32"/>
          <w:lang w:eastAsia="zh-CN"/>
        </w:rPr>
        <w:t>因场地尚不具备施工条件，而致项目推进滞后。二是部分项目预算不足。</w:t>
      </w:r>
      <w:r>
        <w:rPr>
          <w:rFonts w:ascii="Times New Roman" w:eastAsia="仿宋_GB2312" w:cs="Times New Roman" w:hAnsi="Times New Roman"/>
          <w:sz w:val="32"/>
          <w:szCs w:val="32"/>
        </w:rPr>
        <w:t>仲裁业务费项目和公证业务费项目，年初预算安排不足，无法有效保障非税收入征收成本支出和相关业务拓展需要</w:t>
      </w:r>
      <w:r>
        <w:rPr>
          <w:rFonts w:ascii="Times New Roman" w:eastAsia="仿宋_GB2312" w:cs="Times New Roman" w:hAnsi="Times New Roman"/>
          <w:sz w:val="32"/>
          <w:szCs w:val="32"/>
          <w:lang w:eastAsia="zh-CN"/>
        </w:rPr>
        <w:t>，拖欠仲裁员报酬情况较严重</w:t>
      </w:r>
      <w:r>
        <w:rPr>
          <w:rFonts w:ascii="Times New Roman" w:eastAsia="仿宋_GB2312" w:cs="Times New Roman" w:hAnsi="Times New Roman"/>
          <w:sz w:val="32"/>
          <w:szCs w:val="32"/>
        </w:rPr>
        <w:t>。</w:t>
      </w:r>
      <w:r>
        <w:rPr>
          <w:rFonts w:ascii="Times New Roman" w:eastAsia="仿宋_GB2312" w:cs="Times New Roman" w:hAnsi="Times New Roman"/>
          <w:sz w:val="32"/>
          <w:szCs w:val="32"/>
          <w:lang w:eastAsia="zh-CN"/>
        </w:rPr>
        <w:t>三是部分项目已实施完毕而未能及时兑付相关费用。</w:t>
      </w:r>
    </w:p>
    <w:p>
      <w:pPr>
        <w:widowControl/>
        <w:adjustRightInd w:val="0"/>
        <w:snapToGrid w:val="0"/>
        <w:spacing w:line="360" w:lineRule="auto"/>
        <w:ind w:firstLineChars="200" w:firstLine="640"/>
        <w:contextualSpacing/>
        <w:jc w:val="left"/>
        <w:rPr>
          <w:rFonts w:ascii="Times New Roman" w:eastAsia="楷体_GB2312" w:cs="Times New Roman" w:hAnsi="Times New Roman"/>
          <w:b/>
          <w:bCs/>
          <w:color w:val="000000"/>
          <w:kern w:val="0"/>
          <w:sz w:val="32"/>
          <w:szCs w:val="32"/>
          <w:shd w:val="clear" w:color="auto" w:fill="FFFFFF"/>
          <w:lang w:val="zh-CN"/>
        </w:rPr>
      </w:pPr>
      <w:r>
        <w:rPr>
          <w:rFonts w:ascii="Times New Roman" w:eastAsia="楷体_GB2312" w:cs="Times New Roman" w:hAnsi="Times New Roman"/>
          <w:b/>
          <w:bCs/>
          <w:color w:val="000000"/>
          <w:kern w:val="0"/>
          <w:sz w:val="32"/>
          <w:szCs w:val="32"/>
          <w:shd w:val="clear" w:color="auto" w:fill="FFFFFF"/>
          <w:lang w:val="zh-CN"/>
        </w:rPr>
        <w:t>（三）改进建议。</w:t>
      </w:r>
      <w:bookmarkStart w:id="118" w:name="_Hlk110546638"/>
    </w:p>
    <w:p>
      <w:pPr>
        <w:widowControl/>
        <w:adjustRightInd w:val="0"/>
        <w:snapToGrid w:val="0"/>
        <w:spacing w:line="360" w:lineRule="auto"/>
        <w:ind w:firstLineChars="200" w:firstLine="640"/>
        <w:contextualSpacing/>
        <w:jc w:val="left"/>
        <w:rPr>
          <w:rFonts w:ascii="Times New Roman" w:eastAsia="仿宋_GB2312" w:cs="Times New Roman" w:hAnsi="Times New Roman"/>
          <w:kern w:val="0"/>
          <w:sz w:val="32"/>
          <w:szCs w:val="32"/>
        </w:rPr>
      </w:pPr>
      <w:r>
        <w:rPr>
          <w:rFonts w:ascii="Times New Roman" w:eastAsia="仿宋_GB2312" w:cs="Times New Roman" w:hAnsi="Times New Roman"/>
          <w:sz w:val="32"/>
          <w:szCs w:val="32"/>
          <w:lang w:val="zh-CN"/>
        </w:rPr>
        <w:t>一是加快推进行政复议规范化建设项目，进一步完善规划设计，积极协调落实施工场地，加快施工组织，确保</w:t>
      </w:r>
      <w:r>
        <w:rPr>
          <w:rFonts w:ascii="Times New Roman" w:eastAsia="仿宋_GB2312" w:cs="Times New Roman" w:hAnsi="Times New Roman"/>
          <w:sz w:val="32"/>
          <w:szCs w:val="32"/>
          <w:lang w:val="en-US" w:eastAsia="zh-CN"/>
        </w:rPr>
        <w:t>2026年内完成。二是向市财政积极</w:t>
      </w:r>
      <w:r>
        <w:rPr>
          <w:rFonts w:ascii="Times New Roman" w:eastAsia="仿宋_GB2312" w:cs="Times New Roman" w:hAnsi="Times New Roman"/>
          <w:sz w:val="32"/>
          <w:szCs w:val="32"/>
        </w:rPr>
        <w:t>争取加大仲裁业务费和公证业务费预算资金保障，确保</w:t>
      </w:r>
      <w:r>
        <w:rPr>
          <w:rFonts w:ascii="Times New Roman" w:eastAsia="仿宋_GB2312" w:cs="Times New Roman" w:hAnsi="Times New Roman"/>
          <w:sz w:val="32"/>
          <w:szCs w:val="32"/>
          <w:lang w:eastAsia="zh-CN"/>
        </w:rPr>
        <w:t>人员报酬及时兑付</w:t>
      </w:r>
      <w:r>
        <w:rPr>
          <w:rFonts w:ascii="Times New Roman" w:eastAsia="仿宋_GB2312" w:cs="Times New Roman" w:hAnsi="Times New Roman"/>
          <w:sz w:val="32"/>
          <w:szCs w:val="32"/>
        </w:rPr>
        <w:t>及全年非税收入目标达成</w:t>
      </w:r>
      <w:r>
        <w:rPr>
          <w:rFonts w:ascii="Times New Roman" w:eastAsia="仿宋_GB2312" w:cs="Times New Roman" w:hAnsi="Times New Roman"/>
          <w:sz w:val="32"/>
          <w:szCs w:val="32"/>
          <w:lang w:val="zh-CN"/>
        </w:rPr>
        <w:t>。三是加强与市财政国库等</w:t>
      </w:r>
      <w:r>
        <w:rPr>
          <w:rFonts w:eastAsia="仿宋_GB2312" w:cs="Times New Roman" w:hint="eastAsia"/>
          <w:sz w:val="32"/>
          <w:szCs w:val="32"/>
          <w:lang w:val="zh-CN"/>
        </w:rPr>
        <w:t>单位</w:t>
      </w:r>
      <w:r>
        <w:rPr>
          <w:rFonts w:ascii="Times New Roman" w:eastAsia="仿宋_GB2312" w:cs="Times New Roman" w:hAnsi="Times New Roman"/>
          <w:sz w:val="32"/>
          <w:szCs w:val="32"/>
          <w:lang w:val="zh-CN"/>
        </w:rPr>
        <w:t>的沟通协调，提高预算资金执行率，保障各项业务顺利实施达成全年目标。</w:t>
      </w:r>
    </w:p>
    <w:p>
      <w:pPr>
        <w:pStyle w:val="18"/>
        <w:spacing w:line="560" w:lineRule="exact"/>
        <w:ind w:leftChars="0" w:left="0"/>
        <w:rPr>
          <w:rFonts w:ascii="Times New Roman" w:eastAsia="仿宋_GB2312" w:cs="Times New Roman" w:hAnsi="Times New Roman"/>
          <w:sz w:val="32"/>
          <w:lang w:val="zh-CN"/>
        </w:rPr>
      </w:pPr>
      <w:bookmarkEnd w:id="118"/>
    </w:p>
    <w:p>
      <w:pPr>
        <w:pStyle w:val="18"/>
        <w:spacing w:line="560" w:lineRule="exact"/>
        <w:ind w:leftChars="0" w:left="0"/>
        <w:rPr>
          <w:rFonts w:ascii="Times New Roman" w:eastAsia="仿宋_GB2312" w:cs="Times New Roman" w:hAnsi="Times New Roman"/>
          <w:sz w:val="32"/>
          <w:lang w:val="zh-CN"/>
        </w:rPr>
      </w:pPr>
      <w:r>
        <w:rPr>
          <w:rFonts w:ascii="Times New Roman" w:eastAsia="仿宋_GB2312" w:cs="Times New Roman" w:hAnsi="Times New Roman"/>
          <w:sz w:val="32"/>
          <w:lang w:val="zh-CN"/>
        </w:rPr>
        <w:t>附表：</w:t>
      </w:r>
      <w:r>
        <w:rPr>
          <w:rFonts w:ascii="Times New Roman" w:eastAsia="仿宋_GB2312" w:cs="Times New Roman" w:hAnsi="Times New Roman" w:hint="eastAsia"/>
          <w:sz w:val="32"/>
          <w:lang w:eastAsia="zh-CN"/>
        </w:rPr>
        <w:t>部门</w:t>
      </w:r>
      <w:r>
        <w:rPr>
          <w:rFonts w:ascii="Times New Roman" w:eastAsia="仿宋_GB2312" w:cs="Times New Roman" w:hAnsi="Times New Roman"/>
          <w:sz w:val="32"/>
        </w:rPr>
        <w:t>预算项目支出绩效自评表（2025年度）</w:t>
      </w:r>
    </w:p>
    <w:p>
      <w:pPr>
        <w:pStyle w:val="18"/>
        <w:spacing w:line="560" w:lineRule="exact"/>
        <w:ind w:leftChars="0" w:left="0" w:firstLineChars="0" w:firstLine="0"/>
        <w:rPr>
          <w:rFonts w:ascii="Times New Roman" w:cs="Times New Roman" w:hAnsi="Times New Roman"/>
          <w:sz w:val="32"/>
          <w:lang w:val="zh-CN"/>
          <w:highlight w:val="yellow"/>
        </w:rPr>
      </w:pPr>
    </w:p>
    <w:p>
      <w:pPr>
        <w:pStyle w:val="16"/>
        <w:spacing w:beforeLines="0" w:before="93"/>
        <w:rPr>
          <w:rFonts w:ascii="Times New Roman" w:cs="Times New Roman" w:hAnsi="Times New Roman"/>
          <w:color w:val="FF0000"/>
          <w:sz w:val="32"/>
          <w:szCs w:val="32"/>
          <w:shd w:val="clear" w:color="auto" w:fill="FFFFFF"/>
          <w:lang w:val="zh-CN"/>
          <w:highlight w:val="yellow"/>
        </w:rPr>
      </w:pPr>
    </w:p>
    <w:p>
      <w:pPr>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lang w:val="zh-CN"/>
        </w:rPr>
        <w:br w:type="page"/>
      </w:r>
    </w:p>
    <w:p>
      <w:pPr>
        <w:widowControl/>
        <w:jc w:val="center"/>
        <w:rPr>
          <w:rFonts w:ascii="Times New Roman" w:eastAsia="仿宋" w:cs="Times New Roman" w:hAnsi="Times New Roman"/>
        </w:rPr>
      </w:pPr>
      <w:bookmarkStart w:id="119" w:name="_Toc1581028258_WPSOffice_Level1"/>
      <w:bookmarkStart w:id="120"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121" w:name="_Toc15396619"/>
      <w:bookmarkEnd w:id="108"/>
      <w:bookmarkEnd w:id="119"/>
      <w:bookmarkEnd w:id="12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2" w:name="_Toc783930387_WPSOffice_Level2"/>
      <w:r>
        <w:rPr>
          <w:rFonts w:ascii="Times New Roman" w:eastAsia="仿宋_GB2312" w:cs="Times New Roman" w:hAnsi="Times New Roman"/>
          <w:sz w:val="32"/>
          <w:szCs w:val="32"/>
        </w:rPr>
        <w:t>一、收入支出决算总表</w:t>
      </w:r>
      <w:bookmarkEnd w:id="121"/>
      <w:bookmarkEnd w:id="12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3" w:name="_Toc2093182486_WPSOffice_Level2"/>
      <w:bookmarkStart w:id="124" w:name="_Toc15396620"/>
      <w:r>
        <w:rPr>
          <w:rFonts w:ascii="Times New Roman" w:eastAsia="仿宋_GB2312" w:cs="Times New Roman" w:hAnsi="Times New Roman"/>
          <w:sz w:val="32"/>
          <w:szCs w:val="32"/>
        </w:rPr>
        <w:t>二、收入决算表</w:t>
      </w:r>
      <w:bookmarkEnd w:id="123"/>
      <w:bookmarkEnd w:id="12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5" w:name="_Toc15396621"/>
      <w:bookmarkStart w:id="126" w:name="_Toc278943556_WPSOffice_Level2"/>
      <w:r>
        <w:rPr>
          <w:rFonts w:ascii="Times New Roman" w:eastAsia="仿宋_GB2312" w:cs="Times New Roman" w:hAnsi="Times New Roman"/>
          <w:sz w:val="32"/>
          <w:szCs w:val="32"/>
        </w:rPr>
        <w:t>三、支出决算表</w:t>
      </w:r>
      <w:bookmarkEnd w:id="125"/>
      <w:bookmarkEnd w:id="126"/>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7" w:name="_Toc1458299552_WPSOffice_Level2"/>
      <w:bookmarkStart w:id="128" w:name="_Toc15396622"/>
      <w:r>
        <w:rPr>
          <w:rFonts w:ascii="Times New Roman" w:eastAsia="仿宋_GB2312" w:cs="Times New Roman" w:hAnsi="Times New Roman"/>
          <w:sz w:val="32"/>
          <w:szCs w:val="32"/>
        </w:rPr>
        <w:t>四、财政拨款收入支出决算总表</w:t>
      </w:r>
      <w:bookmarkEnd w:id="127"/>
      <w:bookmarkEnd w:id="128"/>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29" w:name="_Toc15396623"/>
      <w:bookmarkStart w:id="130" w:name="_Toc593680750_WPSOffice_Level2"/>
      <w:r>
        <w:rPr>
          <w:rFonts w:ascii="Times New Roman" w:eastAsia="仿宋_GB2312" w:cs="Times New Roman" w:hAnsi="Times New Roman"/>
          <w:sz w:val="32"/>
          <w:szCs w:val="32"/>
        </w:rPr>
        <w:t>五、财政拨款支出决算明细表</w:t>
      </w:r>
      <w:bookmarkStart w:id="131" w:name="_Toc15396624"/>
      <w:bookmarkEnd w:id="129"/>
      <w:bookmarkEnd w:id="13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2" w:name="_Toc230516533_WPSOffice_Level2"/>
      <w:r>
        <w:rPr>
          <w:rFonts w:ascii="Times New Roman" w:eastAsia="仿宋_GB2312" w:cs="Times New Roman" w:hAnsi="Times New Roman"/>
          <w:sz w:val="32"/>
          <w:szCs w:val="32"/>
        </w:rPr>
        <w:t>六、一般公共预算财政拨款支出决算表</w:t>
      </w:r>
      <w:bookmarkEnd w:id="131"/>
      <w:bookmarkEnd w:id="13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3" w:name="_Toc15396625"/>
      <w:bookmarkStart w:id="134" w:name="_Toc819428994_WPSOffice_Level2"/>
      <w:r>
        <w:rPr>
          <w:rFonts w:ascii="Times New Roman" w:eastAsia="仿宋_GB2312" w:cs="Times New Roman" w:hAnsi="Times New Roman"/>
          <w:sz w:val="32"/>
          <w:szCs w:val="32"/>
        </w:rPr>
        <w:t>七、一般公共预算财政拨款支出决算明细表</w:t>
      </w:r>
      <w:bookmarkEnd w:id="133"/>
      <w:bookmarkEnd w:id="13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5" w:name="_Toc300421577_WPSOffice_Level2"/>
      <w:bookmarkStart w:id="136" w:name="_Toc15396626"/>
      <w:r>
        <w:rPr>
          <w:rFonts w:ascii="Times New Roman" w:eastAsia="仿宋_GB2312" w:cs="Times New Roman" w:hAnsi="Times New Roman"/>
          <w:sz w:val="32"/>
          <w:szCs w:val="32"/>
        </w:rPr>
        <w:t>八、一般公共预算财政拨款基本支出决算表</w:t>
      </w:r>
      <w:bookmarkEnd w:id="135"/>
      <w:bookmarkEnd w:id="136"/>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7" w:name="_Toc15396627"/>
      <w:bookmarkStart w:id="138" w:name="_Toc547693826_WPSOffice_Level2"/>
      <w:r>
        <w:rPr>
          <w:rFonts w:ascii="Times New Roman" w:eastAsia="仿宋_GB2312" w:cs="Times New Roman" w:hAnsi="Times New Roman"/>
          <w:sz w:val="32"/>
          <w:szCs w:val="32"/>
        </w:rPr>
        <w:t>九、一般公共预算财政拨款项目支出决算表</w:t>
      </w:r>
      <w:bookmarkEnd w:id="137"/>
      <w:bookmarkEnd w:id="138"/>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39" w:name="_Toc15396628"/>
      <w:bookmarkStart w:id="140" w:name="_Toc168443405_WPSOffice_Level2"/>
      <w:r>
        <w:rPr>
          <w:rFonts w:ascii="Times New Roman" w:eastAsia="仿宋_GB2312" w:cs="Times New Roman" w:hAnsi="Times New Roman"/>
          <w:sz w:val="32"/>
          <w:szCs w:val="32"/>
        </w:rPr>
        <w:t>十、</w:t>
      </w:r>
      <w:bookmarkEnd w:id="139"/>
      <w:r>
        <w:rPr>
          <w:rFonts w:ascii="Times New Roman" w:eastAsia="仿宋_GB2312" w:cs="Times New Roman" w:hAnsi="Times New Roman"/>
          <w:sz w:val="32"/>
          <w:szCs w:val="32"/>
        </w:rPr>
        <w:t>政府性基金预算财政拨款收入支出决算表</w:t>
      </w:r>
      <w:bookmarkEnd w:id="140"/>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1" w:name="_Toc15396629"/>
      <w:bookmarkStart w:id="142" w:name="_Toc1694648202_WPSOffice_Level2"/>
      <w:r>
        <w:rPr>
          <w:rFonts w:ascii="Times New Roman" w:eastAsia="仿宋_GB2312" w:cs="Times New Roman" w:hAnsi="Times New Roman"/>
          <w:sz w:val="32"/>
          <w:szCs w:val="32"/>
        </w:rPr>
        <w:t>十一、</w:t>
      </w:r>
      <w:bookmarkEnd w:id="141"/>
      <w:r>
        <w:rPr>
          <w:rFonts w:ascii="Times New Roman" w:eastAsia="仿宋_GB2312" w:cs="Times New Roman" w:hAnsi="Times New Roman"/>
          <w:sz w:val="32"/>
          <w:szCs w:val="32"/>
        </w:rPr>
        <w:t>国有资本经营预算财政拨款收入支出决算表</w:t>
      </w:r>
      <w:bookmarkEnd w:id="142"/>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3" w:name="_Toc15396630"/>
      <w:bookmarkStart w:id="144" w:name="_Toc1759947160_WPSOffice_Level2"/>
      <w:r>
        <w:rPr>
          <w:rFonts w:ascii="Times New Roman" w:eastAsia="仿宋_GB2312" w:cs="Times New Roman" w:hAnsi="Times New Roman"/>
          <w:sz w:val="32"/>
          <w:szCs w:val="32"/>
        </w:rPr>
        <w:t>十二、</w:t>
      </w:r>
      <w:bookmarkEnd w:id="143"/>
      <w:r>
        <w:rPr>
          <w:rFonts w:ascii="Times New Roman" w:eastAsia="仿宋_GB2312" w:cs="Times New Roman" w:hAnsi="Times New Roman"/>
          <w:sz w:val="32"/>
          <w:szCs w:val="32"/>
        </w:rPr>
        <w:t>国有资本经营预算财政拨款支出决算表</w:t>
      </w:r>
      <w:bookmarkEnd w:id="144"/>
    </w:p>
    <w:p>
      <w:pPr>
        <w:pStyle w:val="24"/>
        <w:tabs>
          <w:tab w:val="right" w:leader="dot" w:pos="8296"/>
        </w:tabs>
        <w:adjustRightInd w:val="0"/>
        <w:snapToGrid w:val="0"/>
        <w:spacing w:line="560" w:lineRule="exact"/>
        <w:jc w:val="left"/>
        <w:rPr>
          <w:rFonts w:ascii="Times New Roman" w:eastAsia="仿宋_GB2312" w:cs="Times New Roman" w:hAnsi="Times New Roman"/>
          <w:sz w:val="32"/>
          <w:szCs w:val="32"/>
        </w:rPr>
      </w:pPr>
      <w:bookmarkStart w:id="145" w:name="_Toc15396631"/>
      <w:bookmarkStart w:id="146" w:name="_Toc927269515_WPSOffice_Level2"/>
      <w:r>
        <w:rPr>
          <w:rFonts w:ascii="Times New Roman" w:eastAsia="仿宋_GB2312" w:cs="Times New Roman" w:hAnsi="Times New Roman"/>
          <w:sz w:val="32"/>
          <w:szCs w:val="32"/>
        </w:rPr>
        <w:t>十三、</w:t>
      </w:r>
      <w:bookmarkEnd w:id="145"/>
      <w:r>
        <w:rPr>
          <w:rFonts w:ascii="Times New Roman" w:eastAsia="仿宋_GB2312" w:cs="Times New Roman" w:hAnsi="Times New Roman"/>
          <w:sz w:val="32"/>
          <w:szCs w:val="32"/>
        </w:rPr>
        <w:t>财政拨款“三公”经费支出决算表</w:t>
      </w:r>
      <w:bookmarkEnd w:id="146"/>
    </w:p>
    <w:p>
      <w:pPr>
        <w:rPr>
          <w:rFonts w:ascii="Times New Roman" w:cs="Times New Roman" w:hAnsi="Times New Roman"/>
        </w:rPr>
      </w:pPr>
    </w:p>
    <w:sectPr>
      <w:footerReference w:type="default" r:id="rId9"/>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altName w:val="文泉驿微米黑"/>
    <w:panose1 w:val="02000000000000000000"/>
    <w:charset w:val="86"/>
    <w:family w:val="script"/>
    <w:pitch w:val="variable"/>
    <w:sig w:usb0="A00002BF" w:usb1="184F6CFA" w:usb2="00000012"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永中仿宋"/>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仿宋">
    <w:altName w:val="永中仿宋"/>
    <w:panose1 w:val="02010609060101010101"/>
    <w:charset w:val="86"/>
    <w:family w:val="modern"/>
    <w:pitch w:val="variable"/>
    <w:sig w:usb0="800002BF" w:usb1="38CF7CFA" w:usb2="00000016" w:usb3="00000000" w:csb0="00040001" w:csb1="00000000"/>
  </w:font>
  <w:font w:name="楷体_GB2312">
    <w:altName w:val="永中楷体"/>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lear" w:pos="4153"/>
        <w:tab w:val="right" w:pos="8306"/>
      </w:tabs>
    </w:pPr>
    <w:r>
      <w:rPr>
        <w:rFonts w:hint="eastAsia"/>
        <w:lang w:eastAsia="zh-CN"/>
      </w:rPr>
      <w:tab/>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mc:AlternateContent>
        <mc:Choice Requires="wps">
          <w:drawing>
            <wp:anchor distT="0" distB="0" distL="114298" distR="114298" simplePos="0" relativeHeight="34" behindDoc="0" locked="0" layoutInCell="1" hidden="0" allowOverlap="1">
              <wp:simplePos x="0" y="0"/>
              <wp:positionH relativeFrom="margin">
                <wp:align>center</wp:align>
              </wp:positionH>
              <wp:positionV relativeFrom="paragraph">
                <wp:posOffset>0</wp:posOffset>
              </wp:positionV>
              <wp:extent cx="190423" cy="131559"/>
              <wp:effectExtent l="0" t="0" r="0" b="0"/>
              <wp:wrapNone/>
              <wp:docPr id="1" name="文本框 6"/>
              <wp:cNvGraphicFramePr>
                <a:graphicFrameLocks noChangeAspect="0"/>
              </wp:cNvGraphicFramePr>
              <a:graphic>
                <a:graphicData uri="http://schemas.microsoft.com/office/word/2010/wordprocessingShape">
                  <wps:wsp>
                    <wps:cNvSpPr/>
                    <wps:spPr>
                      <a:xfrm rot="0">
                        <a:off x="0" y="0"/>
                        <a:ext cx="190423" cy="131559"/>
                      </a:xfrm>
                      <a:prstGeom prst="rect"/>
                      <a:noFill/>
                      <a:ln w="6350" cmpd="sng" cap="flat">
                        <a:noFill/>
                        <a:prstDash val="solid"/>
                        <a:round/>
                      </a:ln>
                    </wps:spPr>
                    <wps:txbx id="2">
                      <w:txbxContent>
                        <w:p>
                          <w:pPr>
                            <w:pStyle w:val="20"/>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vert="horz" wrap="none" lIns="0" tIns="0" rIns="0" bIns="0" anchor="t" anchorCtr="0" upright="0">
                      <a:spAutoFit/>
                    </wps:bodyPr>
                  </wps:wsp>
                </a:graphicData>
              </a:graphic>
            </wp:anchor>
          </w:drawing>
        </mc:Choice>
        <mc:Fallback>
          <w:pict>
            <v:shape type="#_x0000_t202" id="文本框 6 3" o:spid="_x0000_s3" filled="f" stroked="f" strokeweight="0.5pt" style="position:absolute;margin-left:0.0pt;margin-top:0.0pt;width:14.994004pt;height:10.359pt;z-index:34;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0"/>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r>
      <w:rPr>
        <w:sz w:val="18"/>
      </w:rPr>
      <mc:AlternateContent>
        <mc:Choice Requires="wps">
          <w:drawing>
            <wp:anchor distT="0" distB="0" distL="114298" distR="114298" simplePos="0" relativeHeight="36" behindDoc="0" locked="0" layoutInCell="1" hidden="0" allowOverlap="1">
              <wp:simplePos x="0" y="0"/>
              <wp:positionH relativeFrom="margin">
                <wp:align>center</wp:align>
              </wp:positionH>
              <wp:positionV relativeFrom="paragraph">
                <wp:posOffset>0</wp:posOffset>
              </wp:positionV>
              <wp:extent cx="330098" cy="175412"/>
              <wp:effectExtent l="0" t="0" r="0" b="0"/>
              <wp:wrapNone/>
              <wp:docPr id="4" name="文本框 7"/>
              <wp:cNvGraphicFramePr>
                <a:graphicFrameLocks noChangeAspect="0"/>
              </wp:cNvGraphicFramePr>
              <a:graphic>
                <a:graphicData uri="http://schemas.microsoft.com/office/word/2010/wordprocessingShape">
                  <wps:wsp>
                    <wps:cNvSpPr/>
                    <wps:spPr>
                      <a:xfrm rot="0">
                        <a:off x="0" y="0"/>
                        <a:ext cx="330098" cy="175412"/>
                      </a:xfrm>
                      <a:prstGeom prst="rect"/>
                      <a:noFill/>
                      <a:ln w="6350" cmpd="sng" cap="flat">
                        <a:noFill/>
                        <a:prstDash val="solid"/>
                        <a:round/>
                      </a:ln>
                    </wps:spPr>
                    <wps:txbx id="5">
                      <w:txbxContent>
                        <w:p>
                          <w:pPr>
                            <w:pStyle w:val="20"/>
                            <w:tabs>
                              <w:tab w:val="center" w:pos="4153"/>
                              <w:tab w:val="right" w:pos="8306"/>
                            </w:tabs>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0" upright="0">
                      <a:spAutoFit/>
                    </wps:bodyPr>
                  </wps:wsp>
                </a:graphicData>
              </a:graphic>
            </wp:anchor>
          </w:drawing>
        </mc:Choice>
        <mc:Fallback>
          <w:pict>
            <v:shape type="#_x0000_t202" id="文本框 7 6" o:spid="_x0000_s6" filled="f" stroked="f" strokeweight="0.5pt" style="position:absolute;margin-left:0.0pt;margin-top:0.0pt;width:25.991997pt;height:13.811984pt;z-index:36;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20"/>
                      <w:tabs>
                        <w:tab w:val="center" w:pos="4153"/>
                        <w:tab w:val="right" w:pos="8306"/>
                      </w:tabs>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3"/>
    <w:basedOn w:val="0"/>
    <w:next w:val="0"/>
    <w:pPr>
      <w:tabs>
        <w:tab w:val="right" w:leader="dot" w:pos="8296"/>
      </w:tabs>
      <w:ind w:leftChars="400" w:left="400"/>
    </w:pPr>
  </w:style>
  <w:style w:type="paragraph" w:styleId="16">
    <w:name w:val="Body Text"/>
    <w:basedOn w:val="0"/>
    <w:next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next w:val="0"/>
    <w:pPr>
      <w:ind w:firstLineChars="200" w:firstLine="2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footnote text"/>
    <w:basedOn w:val="0"/>
    <w:next w:val="18"/>
    <w:pPr>
      <w:snapToGrid w:val="0"/>
      <w:jc w:val="left"/>
    </w:pPr>
    <w:rPr>
      <w:sz w:val="18"/>
      <w:szCs w:val="1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 w:type="paragraph" w:customStyle="1" w:styleId="36">
    <w:name w:val="WPSOffice手动目录 1"/>
    <w:rPr>
      <w:rFonts w:ascii="Times New Roman" w:eastAsia="宋体" w:cs="Times New Roman" w:hAnsi="Times New Roman"/>
      <w:sz w:val="20"/>
      <w:szCs w:val="20"/>
    </w:rPr>
  </w:style>
  <w:style w:type="paragraph" w:customStyle="1" w:styleId="37">
    <w:name w:val="WPSOffice手动目录 2"/>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image" Target="media/8.png"/><Relationship Id="rId11" Type="http://schemas.openxmlformats.org/officeDocument/2006/relationships/oleObject" Target="embeddings/oleObject1.bin"/><Relationship Id="rId12" Type="http://schemas.openxmlformats.org/officeDocument/2006/relationships/image" Target="media/10.png"/><Relationship Id="rId13" Type="http://schemas.openxmlformats.org/officeDocument/2006/relationships/oleObject" Target="embeddings/oleObject2.bin"/><Relationship Id="rId14" Type="http://schemas.openxmlformats.org/officeDocument/2006/relationships/image" Target="media/12.png"/><Relationship Id="rId15" Type="http://schemas.openxmlformats.org/officeDocument/2006/relationships/oleObject" Target="embeddings/oleObject3.bin"/><Relationship Id="rId16" Type="http://schemas.openxmlformats.org/officeDocument/2006/relationships/image" Target="media/14.png"/><Relationship Id="rId17" Type="http://schemas.openxmlformats.org/officeDocument/2006/relationships/oleObject" Target="embeddings/oleObject4.bin"/><Relationship Id="rId18" Type="http://schemas.openxmlformats.org/officeDocument/2006/relationships/image" Target="media/16.png"/><Relationship Id="rId19" Type="http://schemas.openxmlformats.org/officeDocument/2006/relationships/oleObject" Target="embeddings/oleObject5.bin"/><Relationship Id="rId20" Type="http://schemas.openxmlformats.org/officeDocument/2006/relationships/image" Target="media/18.png"/><Relationship Id="rId21" Type="http://schemas.openxmlformats.org/officeDocument/2006/relationships/oleObject" Target="embeddings/oleObject6.bin"/><Relationship Id="rId22" Type="http://schemas.openxmlformats.org/officeDocument/2006/relationships/image" Target="media/20.png"/><Relationship Id="rId23" Type="http://schemas.openxmlformats.org/officeDocument/2006/relationships/oleObject" Target="embeddings/oleObject7.bin"/><Relationship Id="rId24" Type="http://schemas.openxmlformats.org/officeDocument/2006/relationships/styles" Target="styles.xml"/><Relationship Id="rId25" Type="http://schemas.openxmlformats.org/officeDocument/2006/relationships/fontTable" Target="fontTable.xml"/><Relationship Id="rId26"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word/glossary/document.xml><?xml version="1.0" encoding="utf-8"?>
<w:glossary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docParts>
    <w:docPart>
      <w:docPartPr>
        <w:name w:val="B364EAE552E54FA2AF253D4F079501A1"/>
        <w:category>
          <w:name w:val="常规"/>
          <w:gallery w:val="placeholder"/>
        </w:category>
        <w:types>
          <w:type w:val="bbPlcHdr"/>
        </w:types>
        <w:behaviors>
          <w:behavior w:val="content"/>
        </w:behaviors>
        <w:guid w:val="{BF3F2800-5816-4B1F-91E7-2B301A664D69}"/>
      </w:docPartPr>
      <w:docPartBody>
        <w:p>
          <w:r>
            <w:rPr>
              <w:rStyle w:val="a3"/>
              <w:rFonts w:hint="eastAsia"/>
            </w:rPr>
            <w:t>单击此处输入文字。</w:t>
          </w:r>
        </w:p>
      </w:docPartBody>
    </w:docPart>
  </w:docParts>
</w:glossaryDocument>
</file>

<file path=word/glossary/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s>
</file>

<file path=word/glossary/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settings>
</file>

<file path=word/glossary/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character" w:styleId="a3">
    <w:name w:val="Placeholder Text"/>
    <w:basedOn w:val="10"/>
    <w:rPr>
      <w:color w:val="808080"/>
    </w:rPr>
  </w:style>
</w:styles>
</file>

<file path=docProps/app.xml><?xml version="1.0" encoding="utf-8"?>
<Properties xmlns="http://schemas.openxmlformats.org/officeDocument/2006/extended-properties">
  <Template>Normal.eit</Template>
  <TotalTime>1</TotalTime>
  <Application>Yozo_Office27021597764231179</Application>
  <Pages>35</Pages>
  <Words>12237</Words>
  <Characters>13083</Characters>
  <Lines>619</Lines>
  <Paragraphs>188</Paragraphs>
  <CharactersWithSpaces>13147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38</cp:revision>
  <cp:lastPrinted>2026-08-29T00:27:00Z</cp:lastPrinted>
  <dcterms:created xsi:type="dcterms:W3CDTF">2020-08-10T17:49:00Z</dcterms:created>
  <dcterms:modified xsi:type="dcterms:W3CDTF">2026-09-13T07:49:35Z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2052-11.8.2.9695</vt:lpwstr>
  </property>
  <property fmtid="{D5CDD505-2E9C-101B-9397-08002B2CF9AE}" pid="3" name="ICV">
    <vt:lpwstr>3BF536824C220DA3E40E8B68BA118B1C_42</vt:lpwstr>
  </property>
</Properties>
</file>