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bin" ContentType="application/vnd.openxmlformats-officedocument.oleObjec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fontTable.xml" ContentType="application/vnd.openxmlformats-officedocument.wordprocessingml.fontTable+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16"/>
        <w:spacing w:beforeLines="0" w:before="93"/>
        <w:rPr>
          <w:rFonts w:ascii="Times New Roman" w:eastAsia="方正小标宋简体" w:cs="Times New Roman" w:hAnsi="Times New Roman"/>
          <w:kern w:val="2"/>
          <w:sz w:val="72"/>
          <w:szCs w:val="72"/>
        </w:rPr>
      </w:pPr>
      <w:bookmarkStart w:id="0" w:name="_Toc15377425"/>
      <w:bookmarkStart w:id="1" w:name="_Toc15396597"/>
      <w:bookmarkStart w:id="2" w:name="_Toc15378441"/>
      <w:bookmarkStart w:id="3" w:name="_Toc15396475"/>
      <w:bookmarkStart w:id="4" w:name="_Toc15377193"/>
      <w:bookmarkStart w:id="5" w:name="_Toc15306267"/>
    </w:p>
    <w:p>
      <w:pPr>
        <w:pStyle w:val="16"/>
        <w:spacing w:beforeLines="0" w:before="93"/>
        <w:rPr>
          <w:rFonts w:ascii="Times New Roman" w:eastAsia="方正小标宋简体" w:cs="Times New Roman" w:hAnsi="Times New Roman"/>
          <w:kern w:val="2"/>
          <w:sz w:val="72"/>
          <w:szCs w:val="72"/>
        </w:rPr>
      </w:pPr>
    </w:p>
    <w:p>
      <w:pPr>
        <w:pStyle w:val="16"/>
        <w:spacing w:beforeLines="0" w:before="93"/>
        <w:rPr>
          <w:rFonts w:ascii="Times New Roman" w:eastAsia="方正小标宋简体" w:cs="Times New Roman" w:hAnsi="Times New Roman"/>
          <w:kern w:val="2"/>
          <w:sz w:val="72"/>
          <w:szCs w:val="72"/>
        </w:rPr>
      </w:pPr>
    </w:p>
    <w:p>
      <w:pPr>
        <w:pStyle w:val="16"/>
        <w:spacing w:beforeLines="0" w:before="93"/>
        <w:jc w:val="center"/>
        <w:rPr>
          <w:rFonts w:ascii="Times New Roman" w:eastAsia="方正小标宋简体" w:cs="Times New Roman" w:hAnsi="Times New Roman"/>
          <w:kern w:val="2"/>
          <w:sz w:val="44"/>
          <w:szCs w:val="44"/>
        </w:rPr>
      </w:pPr>
      <w:r>
        <w:rPr>
          <w:rFonts w:ascii="Times New Roman" w:eastAsia="方正小标宋简体" w:cs="Times New Roman" w:hAnsi="Times New Roman"/>
          <w:kern w:val="2"/>
          <w:sz w:val="44"/>
          <w:szCs w:val="44"/>
        </w:rPr>
        <w:t>2025年度市级部门决算</w:t>
      </w:r>
    </w:p>
    <w:p>
      <w:pPr>
        <w:pStyle w:val="16"/>
        <w:spacing w:beforeLines="0" w:before="93"/>
        <w:jc w:val="center"/>
        <w:rPr>
          <w:rFonts w:ascii="Times New Roman" w:eastAsia="方正小标宋简体" w:cs="Times New Roman" w:hAnsi="Times New Roman"/>
          <w:kern w:val="2"/>
          <w:sz w:val="44"/>
          <w:szCs w:val="44"/>
        </w:rPr>
      </w:pPr>
      <w:r>
        <w:rPr>
          <w:rFonts w:ascii="Times New Roman" w:eastAsia="方正小标宋简体" w:cs="Times New Roman" w:hAnsi="Times New Roman"/>
          <w:kern w:val="2"/>
          <w:sz w:val="44"/>
          <w:szCs w:val="44"/>
        </w:rPr>
        <w:t>公开编制说明</w:t>
      </w:r>
    </w:p>
    <w:p>
      <w:pPr>
        <w:spacing w:line="600" w:lineRule="exact"/>
        <w:jc w:val="center"/>
        <w:outlineLvl w:val="0"/>
        <w:rPr>
          <w:rFonts w:ascii="Times New Roman" w:eastAsia="方正小标宋简体" w:cs="Times New Roman" w:hAnsi="Times New Roman"/>
          <w:sz w:val="72"/>
          <w:szCs w:val="72"/>
        </w:rPr>
      </w:pPr>
    </w:p>
    <w:p>
      <w:pPr>
        <w:pStyle w:val="27"/>
        <w:rPr>
          <w:rFonts w:ascii="Times New Roman" w:cs="Times New Roman" w:hAnsi="Times New Roman"/>
        </w:rPr>
        <w:sectPr>
          <w:headerReference w:type="default" r:id="rId2"/>
          <w:footerReference w:type="default" r:id="rId3"/>
          <w:pgSz w:w="11906" w:h="16838"/>
          <w:pgMar w:top="1440" w:right="1800" w:bottom="1440" w:left="1800" w:header="851" w:footer="992" w:gutter="0"/>
          <w:pgNumType w:start="1"/>
          <w:titlePg/>
          <w:docGrid w:type="lines" w:linePitch="312" w:charSpace="0"/>
        </w:sectPr>
      </w:pPr>
    </w:p>
    <w:p>
      <w:pPr>
        <w:rPr>
          <w:rFonts w:ascii="Times New Roman" w:cs="Times New Roman" w:hAnsi="Times New Roman"/>
        </w:rPr>
      </w:pPr>
    </w:p>
    <w:p>
      <w:pPr>
        <w:pStyle w:val="16"/>
        <w:spacing w:beforeLines="0" w:before="93"/>
        <w:jc w:val="center"/>
        <w:rPr>
          <w:rFonts w:ascii="Times New Roman" w:eastAsia="方正小标宋简体" w:cs="Times New Roman" w:hAnsi="Times New Roman"/>
          <w:kern w:val="2"/>
          <w:sz w:val="44"/>
          <w:szCs w:val="44"/>
        </w:rPr>
      </w:pPr>
    </w:p>
    <w:p>
      <w:pPr>
        <w:pStyle w:val="16"/>
        <w:spacing w:beforeLines="0" w:before="93"/>
        <w:jc w:val="center"/>
        <w:rPr>
          <w:rFonts w:ascii="Times New Roman" w:eastAsia="方正小标宋简体" w:cs="Times New Roman" w:hAnsi="Times New Roman"/>
          <w:kern w:val="2"/>
          <w:sz w:val="44"/>
          <w:szCs w:val="44"/>
        </w:rPr>
      </w:pPr>
    </w:p>
    <w:p>
      <w:pPr>
        <w:pStyle w:val="16"/>
        <w:spacing w:beforeLines="0" w:before="93"/>
        <w:jc w:val="center"/>
        <w:rPr>
          <w:rFonts w:ascii="Times New Roman" w:eastAsia="方正小标宋简体" w:cs="Times New Roman" w:hAnsi="Times New Roman"/>
          <w:kern w:val="2"/>
          <w:sz w:val="44"/>
          <w:szCs w:val="44"/>
        </w:rPr>
      </w:pPr>
    </w:p>
    <w:p>
      <w:pPr>
        <w:pStyle w:val="16"/>
        <w:spacing w:beforeLines="0" w:before="93"/>
        <w:jc w:val="center"/>
        <w:rPr>
          <w:rFonts w:ascii="Times New Roman" w:eastAsia="方正小标宋简体" w:cs="Times New Roman" w:hAnsi="Times New Roman"/>
          <w:kern w:val="2"/>
          <w:sz w:val="44"/>
          <w:szCs w:val="44"/>
        </w:rPr>
      </w:pPr>
    </w:p>
    <w:p>
      <w:pPr>
        <w:pStyle w:val="16"/>
        <w:spacing w:beforeLines="0" w:before="93"/>
        <w:jc w:val="center"/>
        <w:rPr>
          <w:rFonts w:ascii="Times New Roman" w:eastAsia="方正小标宋简体" w:cs="Times New Roman" w:hAnsi="Times New Roman"/>
          <w:kern w:val="2"/>
          <w:sz w:val="44"/>
          <w:szCs w:val="44"/>
        </w:rPr>
      </w:pPr>
      <w:bookmarkStart w:id="6" w:name="_Toc15377426"/>
      <w:bookmarkStart w:id="7" w:name="_Toc15396476"/>
      <w:bookmarkStart w:id="8" w:name="_Toc15377194"/>
      <w:bookmarkStart w:id="9" w:name="_Toc15396598"/>
      <w:bookmarkStart w:id="10" w:name="_Toc15378442"/>
      <w:bookmarkEnd w:id="0"/>
      <w:bookmarkEnd w:id="1"/>
      <w:bookmarkEnd w:id="2"/>
      <w:bookmarkEnd w:id="3"/>
      <w:bookmarkEnd w:id="4"/>
      <w:r>
        <w:rPr>
          <w:rFonts w:ascii="Times New Roman" w:eastAsia="方正小标宋简体" w:cs="Times New Roman" w:hAnsi="Times New Roman"/>
          <w:kern w:val="2"/>
          <w:sz w:val="44"/>
          <w:szCs w:val="44"/>
        </w:rPr>
        <w:t>2025年度攀枝花市</w:t>
      </w:r>
      <w:bookmarkStart w:id="11" w:name="_Toc15306268"/>
      <w:bookmarkEnd w:id="5"/>
      <w:r>
        <w:rPr>
          <w:rFonts w:ascii="Times New Roman" w:eastAsia="方正小标宋简体" w:cs="Times New Roman" w:hAnsi="Times New Roman"/>
          <w:kern w:val="2"/>
          <w:sz w:val="44"/>
          <w:szCs w:val="44"/>
          <w:lang w:eastAsia="zh-CN"/>
        </w:rPr>
        <w:t>司法局</w:t>
      </w:r>
      <w:r>
        <w:rPr>
          <w:rFonts w:ascii="Times New Roman" w:eastAsia="方正小标宋简体" w:cs="Times New Roman" w:hAnsi="Times New Roman"/>
          <w:kern w:val="2"/>
          <w:sz w:val="44"/>
          <w:szCs w:val="44"/>
        </w:rPr>
        <w:t>部门决算</w:t>
      </w:r>
      <w:bookmarkEnd w:id="6"/>
      <w:bookmarkEnd w:id="7"/>
      <w:bookmarkEnd w:id="8"/>
      <w:bookmarkEnd w:id="9"/>
      <w:bookmarkEnd w:id="10"/>
      <w:bookmarkEnd w:id="11"/>
    </w:p>
    <w:p>
      <w:pPr>
        <w:widowControl/>
        <w:jc w:val="center"/>
        <w:rPr>
          <w:rFonts w:ascii="Times New Roman" w:eastAsia="黑体" w:cs="Times New Roman" w:hAnsi="Times New Roman"/>
          <w:sz w:val="48"/>
          <w:szCs w:val="48"/>
        </w:rPr>
        <w:sectPr>
          <w:footerReference w:type="default" r:id="rId4"/>
          <w:footerReference w:type="first" r:id="rId5"/>
          <w:pgSz w:w="11906" w:h="16838"/>
          <w:pgMar w:top="1440" w:right="1800" w:bottom="1440" w:left="1800" w:header="851" w:footer="992" w:gutter="0"/>
          <w:pgNumType w:start="1"/>
          <w:titlePg/>
          <w:docGrid w:type="lines" w:linePitch="312" w:charSpace="0"/>
        </w:sectPr>
      </w:pPr>
    </w:p>
    <w:p>
      <w:pPr>
        <w:widowControl/>
        <w:jc w:val="center"/>
        <w:rPr>
          <w:rFonts w:ascii="Times New Roman" w:eastAsia="黑体" w:cs="Times New Roman" w:hAnsi="Times New Roman"/>
          <w:sz w:val="48"/>
          <w:szCs w:val="48"/>
        </w:rPr>
      </w:pPr>
      <w:r>
        <w:rPr>
          <w:rFonts w:ascii="Times New Roman" w:eastAsia="黑体" w:cs="Times New Roman" w:hAnsi="Times New Roman"/>
          <w:sz w:val="48"/>
          <w:szCs w:val="48"/>
        </w:rPr>
        <w:t>目录</w:t>
      </w:r>
    </w:p>
    <w:p>
      <w:pPr>
        <w:widowControl/>
        <w:jc w:val="center"/>
        <w:rPr>
          <w:rFonts w:ascii="Times New Roman" w:eastAsia="黑体" w:cs="Times New Roman" w:hAnsi="Times New Roman"/>
          <w:sz w:val="28"/>
          <w:szCs w:val="28"/>
        </w:rPr>
      </w:pPr>
    </w:p>
    <w:p>
      <w:pPr>
        <w:pStyle w:val="22"/>
        <w:tabs>
          <w:tab w:val="right" w:leader="dot" w:pos="8296"/>
        </w:tabs>
        <w:rPr>
          <w:rFonts w:ascii="Times New Roman" w:eastAsia="仿宋_GB2312" w:cs="Times New Roman" w:hAnsi="Times New Roman"/>
          <w:sz w:val="32"/>
          <w:szCs w:val="32"/>
        </w:rPr>
      </w:pPr>
      <w:r>
        <w:rPr>
          <w:rFonts w:ascii="Times New Roman" w:eastAsia="仿宋_GB2312" w:cs="Times New Roman" w:hAnsi="Times New Roman"/>
          <w:sz w:val="32"/>
          <w:szCs w:val="32"/>
        </w:rPr>
        <w:t>公开时间：2026年</w:t>
      </w:r>
      <w:r>
        <w:rPr>
          <w:rFonts w:ascii="Times New Roman" w:eastAsia="仿宋_GB2312" w:cs="Times New Roman" w:hAnsi="Times New Roman" w:hint="eastAsia"/>
          <w:sz w:val="32"/>
          <w:szCs w:val="32"/>
          <w:lang w:val="en-US" w:eastAsia="zh-CN"/>
        </w:rPr>
        <w:t>9</w:t>
      </w:r>
      <w:r>
        <w:rPr>
          <w:rFonts w:ascii="Times New Roman" w:eastAsia="仿宋_GB2312" w:cs="Times New Roman" w:hAnsi="Times New Roman"/>
          <w:sz w:val="32"/>
          <w:szCs w:val="32"/>
        </w:rPr>
        <w:t>月</w:t>
      </w:r>
      <w:r>
        <w:rPr>
          <w:rFonts w:ascii="Times New Roman" w:eastAsia="仿宋_GB2312" w:cs="Times New Roman" w:hAnsi="Times New Roman" w:hint="eastAsia"/>
          <w:sz w:val="32"/>
          <w:szCs w:val="32"/>
          <w:lang w:val="en-US" w:eastAsia="zh-CN"/>
        </w:rPr>
        <w:t>1</w:t>
      </w:r>
      <w:r>
        <w:rPr>
          <w:rFonts w:ascii="Times New Roman" w:eastAsia="仿宋_GB2312" w:cs="Times New Roman" w:hAnsi="Times New Roman"/>
          <w:sz w:val="32"/>
          <w:szCs w:val="32"/>
          <w:lang w:val="en-US" w:eastAsia="zh-CN"/>
        </w:rPr>
        <w:t>3</w:t>
      </w:r>
      <w:bookmarkStart w:id="12" w:name="_GoBack"/>
      <w:bookmarkEnd w:id="12"/>
      <w:r>
        <w:rPr>
          <w:rFonts w:ascii="Times New Roman" w:eastAsia="仿宋_GB2312" w:cs="Times New Roman" w:hAnsi="Times New Roman"/>
          <w:sz w:val="32"/>
          <w:szCs w:val="32"/>
        </w:rPr>
        <w:t>日</w:t>
      </w:r>
    </w:p>
    <w:p>
      <w:pPr>
        <w:rPr>
          <w:rFonts w:ascii="Times New Roman" w:cs="Times New Roman" w:hAnsi="Times New Roman"/>
        </w:rPr>
      </w:pPr>
    </w:p>
    <w:sdt>
      <w:sdtPr>
        <w:rPr>
          <w:rFonts w:ascii="宋体" w:eastAsia="宋体" w:cs="Times New Roman"/>
          <w:kern w:val="2"/>
          <w:sz w:val="21"/>
          <w:szCs w:val="24"/>
          <w:lang w:val="en-US" w:eastAsia="zh-CN" w:bidi="ar-SA"/>
        </w:rPr>
        <w:id w:val="-1873279861"/>
        <w:docPartObj>
          <w:docPartGallery w:val="Table of Contents"/>
          <w:docPartUnique/>
        </w:docPartObj>
      </w:sdtPr>
      <w:sdtEndPr>
        <w:rPr>
          <w:sz w:val="20"/>
          <w:szCs w:val="20"/>
        </w:rPr>
      </w:sdtEndPr>
      <w:sdtContent>
        <w:bookmarkStart w:id="13" w:name="_Toc274607203_WPSOffice_Type2" w:displacedByCustomXml="prev"/>
        <w:p>
          <w:pPr>
            <w:spacing w:before="0" w:after="0" w:line="240" w:lineRule="auto"/>
            <w:ind w:left="0" w:right="0" w:firstLine="0"/>
            <w:jc w:val="center"/>
            <w:rPr>
              <w:rFonts w:ascii="仿宋_GB2312" w:eastAsia="仿宋_GB2312" w:cs="仿宋_GB2312" w:hint="eastAsia"/>
              <w:sz w:val="32"/>
              <w:szCs w:val="32"/>
            </w:rPr>
          </w:pPr>
        </w:p>
        <w:p>
          <w:pPr>
            <w:pStyle w:val="36"/>
            <w:tabs>
              <w:tab w:val="right" w:leader="dot" w:pos="8306"/>
            </w:tabs>
            <w:rPr>
              <w:rFonts w:ascii="黑体" w:eastAsia="黑体" w:cs="黑体" w:hint="eastAsia"/>
              <w:sz w:val="32"/>
              <w:szCs w:val="32"/>
            </w:rPr>
          </w:pPr>
          <w:sdt>
            <w:sdtPr>
              <w:rPr>
                <w:rFonts w:ascii="黑体" w:eastAsia="黑体" w:cs="黑体" w:hint="eastAsia"/>
                <w:b/>
                <w:bCs/>
                <w:kern w:val="2"/>
                <w:sz w:val="32"/>
                <w:szCs w:val="32"/>
                <w:lang w:val="en-US" w:eastAsia="zh-CN" w:bidi="ar-SA"/>
              </w:rPr>
              <w:id w:val="-606018798"/>
              <w:placeholder>
                <w:docPart w:val="14DFAF6FE9F448EFAA9AF8ACDA844F9C"/>
              </w:placeholder>
            </w:sdtPr>
            <w:sdtEndPr>
              <w:rPr>
                <w:b w:val="0"/>
                <w:bCs w:val="0"/>
              </w:rPr>
            </w:sdtEndPr>
            <w:sdtContent>
              <w:r>
                <w:rPr>
                  <w:rFonts w:ascii="黑体" w:eastAsia="黑体" w:cs="黑体" w:hint="eastAsia"/>
                  <w:b w:val="0"/>
                  <w:bCs w:val="0"/>
                  <w:sz w:val="32"/>
                  <w:szCs w:val="32"/>
                </w:rPr>
                <w:fldChar w:fldCharType="begin"/>
              </w:r>
              <w:r>
                <w:instrText>HYPERLINK  \l "_Toc1352871000_WPSOffice_Level1"</w:instrText>
              </w:r>
              <w:r>
                <w:rPr>
                  <w:rFonts w:ascii="黑体" w:eastAsia="黑体" w:cs="黑体" w:hint="eastAsia"/>
                  <w:b w:val="0"/>
                  <w:bCs w:val="0"/>
                  <w:sz w:val="32"/>
                  <w:szCs w:val="32"/>
                </w:rPr>
                <w:fldChar w:fldCharType="separate"/>
              </w:r>
              <w:r>
                <w:rPr>
                  <w:rFonts w:ascii="黑体" w:eastAsia="黑体" w:cs="黑体" w:hint="eastAsia"/>
                  <w:b w:val="0"/>
                  <w:bCs w:val="0"/>
                  <w:sz w:val="32"/>
                  <w:szCs w:val="32"/>
                </w:rPr>
                <w:t>第一部分  部门概况</w:t>
              </w:r>
            </w:sdtContent>
          </w:sdt>
          <w:r>
            <w:rPr>
              <w:rFonts w:ascii="黑体" w:eastAsia="黑体" w:cs="黑体" w:hint="eastAsia"/>
              <w:b w:val="0"/>
              <w:bCs w:val="0"/>
              <w:sz w:val="32"/>
              <w:szCs w:val="32"/>
            </w:rPr>
            <w:tab/>
          </w:r>
          <w:bookmarkStart w:id="14" w:name="_Toc1352871000_WPSOffice_Level1Page"/>
          <w:r>
            <w:rPr>
              <w:rFonts w:ascii="仿宋_GB2312" w:eastAsia="仿宋_GB2312" w:cs="仿宋_GB2312" w:hint="eastAsia"/>
              <w:b w:val="0"/>
              <w:bCs w:val="0"/>
              <w:sz w:val="32"/>
              <w:szCs w:val="32"/>
            </w:rPr>
            <w:t>1</w:t>
          </w:r>
          <w:r>
            <w:rPr>
              <w:rFonts w:ascii="黑体" w:eastAsia="黑体" w:cs="黑体" w:hint="eastAsia"/>
              <w:b w:val="0"/>
              <w:bCs w:val="0"/>
              <w:sz w:val="32"/>
              <w:szCs w:val="32"/>
            </w:rPr>
            <w:fldChar w:fldCharType="end"/>
          </w:r>
        </w:p>
        <w:p>
          <w:pPr>
            <w:pStyle w:val="37"/>
            <w:tabs>
              <w:tab w:val="right" w:leader="dot" w:pos="8306"/>
            </w:tabs>
            <w:rPr>
              <w:rFonts w:ascii="仿宋_GB2312" w:eastAsia="仿宋_GB2312" w:cs="仿宋_GB2312" w:hint="eastAsia"/>
              <w:sz w:val="32"/>
              <w:szCs w:val="32"/>
            </w:rPr>
          </w:pPr>
          <w:sdt>
            <w:sdtPr>
              <w:rPr>
                <w:rFonts w:ascii="仿宋_GB2312" w:eastAsia="仿宋_GB2312" w:cs="仿宋_GB2312" w:hint="eastAsia"/>
                <w:kern w:val="2"/>
                <w:sz w:val="32"/>
                <w:szCs w:val="32"/>
                <w:lang w:val="en-US" w:eastAsia="zh-CN" w:bidi="ar-SA"/>
              </w:rPr>
              <w:id w:val="-2026541823"/>
              <w:placeholder>
                <w:docPart w:val="14DFAF6FE9F448EFAA9AF8ACDA844F9C"/>
              </w:placeholder>
            </w:sdtPr>
            <w:sdtContent>
              <w:r>
                <w:rPr>
                  <w:rFonts w:ascii="仿宋_GB2312" w:eastAsia="仿宋_GB2312" w:cs="仿宋_GB2312" w:hint="eastAsia"/>
                  <w:sz w:val="32"/>
                  <w:szCs w:val="32"/>
                </w:rPr>
                <w:fldChar w:fldCharType="begin"/>
              </w:r>
              <w:r>
                <w:instrText>HYPERLINK  \l "_Toc274607203_WPSOffice_Level2"</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一、部门职责</w:t>
              </w:r>
            </w:sdtContent>
          </w:sdt>
          <w:r>
            <w:rPr>
              <w:rFonts w:ascii="仿宋_GB2312" w:eastAsia="仿宋_GB2312" w:cs="仿宋_GB2312" w:hint="eastAsia"/>
              <w:sz w:val="32"/>
              <w:szCs w:val="32"/>
            </w:rPr>
            <w:tab/>
          </w:r>
          <w:bookmarkStart w:id="15" w:name="_Toc274607203_WPSOffice_Level2Page"/>
          <w:r>
            <w:rPr>
              <w:rFonts w:ascii="仿宋_GB2312" w:eastAsia="仿宋_GB2312" w:cs="仿宋_GB2312" w:hint="eastAsia"/>
              <w:sz w:val="32"/>
              <w:szCs w:val="32"/>
            </w:rPr>
            <w:t>1</w:t>
          </w:r>
          <w:r>
            <w:rPr>
              <w:rFonts w:ascii="仿宋_GB2312" w:eastAsia="仿宋_GB2312" w:cs="仿宋_GB2312" w:hint="eastAsia"/>
              <w:sz w:val="32"/>
              <w:szCs w:val="32"/>
            </w:rPr>
            <w:fldChar w:fldCharType="end"/>
          </w:r>
        </w:p>
        <w:p>
          <w:pPr>
            <w:pStyle w:val="37"/>
            <w:tabs>
              <w:tab w:val="right" w:leader="dot" w:pos="8306"/>
            </w:tabs>
            <w:rPr>
              <w:rFonts w:ascii="仿宋_GB2312" w:eastAsia="仿宋_GB2312" w:cs="仿宋_GB2312" w:hint="eastAsia"/>
              <w:sz w:val="32"/>
              <w:szCs w:val="32"/>
            </w:rPr>
          </w:pPr>
          <w:sdt>
            <w:sdtPr>
              <w:rPr>
                <w:rFonts w:ascii="仿宋_GB2312" w:eastAsia="仿宋_GB2312" w:cs="仿宋_GB2312" w:hint="eastAsia"/>
                <w:kern w:val="2"/>
                <w:sz w:val="32"/>
                <w:szCs w:val="32"/>
                <w:lang w:val="en-US" w:eastAsia="zh-CN" w:bidi="ar-SA"/>
              </w:rPr>
              <w:id w:val="-4861798"/>
              <w:placeholder>
                <w:docPart w:val="14DFAF6FE9F448EFAA9AF8ACDA844F9C"/>
              </w:placeholder>
            </w:sdtPr>
            <w:sdtContent>
              <w:r>
                <w:rPr>
                  <w:rFonts w:ascii="仿宋_GB2312" w:eastAsia="仿宋_GB2312" w:cs="仿宋_GB2312" w:hint="eastAsia"/>
                  <w:sz w:val="32"/>
                  <w:szCs w:val="32"/>
                </w:rPr>
                <w:fldChar w:fldCharType="begin"/>
              </w:r>
              <w:r>
                <w:instrText>HYPERLINK  \l "_Toc1123705102_WPSOffice_Level2"</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二、机构设置</w:t>
              </w:r>
            </w:sdtContent>
          </w:sdt>
          <w:r>
            <w:rPr>
              <w:rFonts w:ascii="仿宋_GB2312" w:eastAsia="仿宋_GB2312" w:cs="仿宋_GB2312" w:hint="eastAsia"/>
              <w:sz w:val="32"/>
              <w:szCs w:val="32"/>
            </w:rPr>
            <w:tab/>
          </w:r>
          <w:bookmarkStart w:id="16" w:name="_Toc1123705102_WPSOffice_Level2Page"/>
          <w:r>
            <w:rPr>
              <w:rFonts w:ascii="仿宋_GB2312" w:eastAsia="仿宋_GB2312" w:cs="仿宋_GB2312" w:hint="eastAsia"/>
              <w:sz w:val="32"/>
              <w:szCs w:val="32"/>
            </w:rPr>
            <w:t>3</w:t>
          </w:r>
          <w:r>
            <w:rPr>
              <w:rFonts w:ascii="仿宋_GB2312" w:eastAsia="仿宋_GB2312" w:cs="仿宋_GB2312" w:hint="eastAsia"/>
              <w:sz w:val="32"/>
              <w:szCs w:val="32"/>
            </w:rPr>
            <w:fldChar w:fldCharType="end"/>
          </w:r>
        </w:p>
        <w:p>
          <w:pPr>
            <w:pStyle w:val="36"/>
            <w:tabs>
              <w:tab w:val="right" w:leader="dot" w:pos="8306"/>
            </w:tabs>
            <w:rPr>
              <w:rFonts w:ascii="仿宋_GB2312" w:eastAsia="仿宋_GB2312" w:cs="仿宋_GB2312" w:hint="eastAsia"/>
              <w:sz w:val="32"/>
              <w:szCs w:val="32"/>
            </w:rPr>
          </w:pPr>
          <w:sdt>
            <w:sdtPr>
              <w:rPr>
                <w:rFonts w:ascii="仿宋_GB2312" w:eastAsia="仿宋_GB2312" w:cs="仿宋_GB2312" w:hint="eastAsia"/>
                <w:b/>
                <w:bCs/>
                <w:kern w:val="2"/>
                <w:sz w:val="32"/>
                <w:szCs w:val="32"/>
                <w:lang w:val="en-US" w:eastAsia="zh-CN" w:bidi="ar-SA"/>
              </w:rPr>
              <w:id w:val="-778806365"/>
              <w:placeholder>
                <w:docPart w:val="14DFAF6FE9F448EFAA9AF8ACDA844F9C"/>
              </w:placeholder>
            </w:sdtPr>
            <w:sdtEndPr>
              <w:rPr>
                <w:b w:val="0"/>
                <w:bCs w:val="0"/>
              </w:rPr>
            </w:sdtEndPr>
            <w:sdtContent>
              <w:r>
                <w:rPr>
                  <w:rFonts w:ascii="黑体" w:eastAsia="黑体" w:cs="黑体" w:hint="eastAsia"/>
                  <w:b w:val="0"/>
                  <w:bCs w:val="0"/>
                  <w:sz w:val="32"/>
                  <w:szCs w:val="32"/>
                </w:rPr>
                <w:fldChar w:fldCharType="begin"/>
              </w:r>
              <w:r>
                <w:instrText>HYPERLINK  \l "_Toc274607203_WPSOffice_Level1"</w:instrText>
              </w:r>
              <w:r>
                <w:rPr>
                  <w:rFonts w:ascii="黑体" w:eastAsia="黑体" w:cs="黑体" w:hint="eastAsia"/>
                  <w:b w:val="0"/>
                  <w:bCs w:val="0"/>
                  <w:sz w:val="32"/>
                  <w:szCs w:val="32"/>
                </w:rPr>
                <w:fldChar w:fldCharType="separate"/>
              </w:r>
              <w:r>
                <w:rPr>
                  <w:rFonts w:ascii="黑体" w:eastAsia="黑体" w:cs="黑体" w:hint="eastAsia"/>
                  <w:b w:val="0"/>
                  <w:bCs w:val="0"/>
                  <w:sz w:val="32"/>
                  <w:szCs w:val="32"/>
                </w:rPr>
                <w:t>第二部分  2025年度部门决算情况说明</w:t>
              </w:r>
            </w:sdtContent>
          </w:sdt>
          <w:r>
            <w:rPr>
              <w:rFonts w:ascii="仿宋_GB2312" w:eastAsia="仿宋_GB2312" w:cs="仿宋_GB2312" w:hint="eastAsia"/>
              <w:b w:val="0"/>
              <w:bCs w:val="0"/>
              <w:sz w:val="32"/>
              <w:szCs w:val="32"/>
            </w:rPr>
            <w:tab/>
          </w:r>
          <w:bookmarkStart w:id="17" w:name="_Toc274607203_WPSOffice_Level1Page"/>
          <w:r>
            <w:rPr>
              <w:rFonts w:ascii="仿宋_GB2312" w:eastAsia="仿宋_GB2312" w:cs="仿宋_GB2312" w:hint="eastAsia"/>
              <w:b w:val="0"/>
              <w:bCs w:val="0"/>
              <w:sz w:val="32"/>
              <w:szCs w:val="32"/>
            </w:rPr>
            <w:t>4</w:t>
          </w:r>
          <w:r>
            <w:rPr>
              <w:rFonts w:ascii="黑体" w:eastAsia="黑体" w:cs="黑体" w:hint="eastAsia"/>
              <w:b w:val="0"/>
              <w:bCs w:val="0"/>
              <w:sz w:val="32"/>
              <w:szCs w:val="32"/>
            </w:rPr>
            <w:fldChar w:fldCharType="end"/>
          </w:r>
        </w:p>
        <w:p>
          <w:pPr>
            <w:pStyle w:val="37"/>
            <w:tabs>
              <w:tab w:val="right" w:leader="dot" w:pos="8306"/>
            </w:tabs>
            <w:rPr>
              <w:rFonts w:ascii="仿宋_GB2312" w:eastAsia="仿宋_GB2312" w:cs="仿宋_GB2312" w:hint="eastAsia"/>
              <w:sz w:val="32"/>
              <w:szCs w:val="32"/>
            </w:rPr>
          </w:pPr>
          <w:sdt>
            <w:sdtPr>
              <w:rPr>
                <w:rFonts w:ascii="仿宋_GB2312" w:eastAsia="仿宋_GB2312" w:cs="仿宋_GB2312" w:hint="eastAsia"/>
                <w:kern w:val="2"/>
                <w:sz w:val="32"/>
                <w:szCs w:val="32"/>
                <w:lang w:val="en-US" w:eastAsia="zh-CN" w:bidi="ar-SA"/>
              </w:rPr>
              <w:id w:val="981506240"/>
              <w:placeholder>
                <w:docPart w:val="14DFAF6FE9F448EFAA9AF8ACDA844F9C"/>
              </w:placeholder>
            </w:sdtPr>
            <w:sdtContent>
              <w:r>
                <w:rPr>
                  <w:rFonts w:ascii="仿宋_GB2312" w:eastAsia="仿宋_GB2312" w:cs="仿宋_GB2312" w:hint="eastAsia"/>
                  <w:sz w:val="32"/>
                  <w:szCs w:val="32"/>
                </w:rPr>
                <w:fldChar w:fldCharType="begin"/>
              </w:r>
              <w:r>
                <w:instrText>HYPERLINK  \l "_Toc1154886502_WPSOffice_Level2"</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一、收入支出决算总体情况说明</w:t>
              </w:r>
            </w:sdtContent>
          </w:sdt>
          <w:r>
            <w:rPr>
              <w:rFonts w:ascii="仿宋_GB2312" w:eastAsia="仿宋_GB2312" w:cs="仿宋_GB2312" w:hint="eastAsia"/>
              <w:sz w:val="32"/>
              <w:szCs w:val="32"/>
            </w:rPr>
            <w:tab/>
          </w:r>
          <w:bookmarkStart w:id="18" w:name="_Toc1154886502_WPSOffice_Level2Page"/>
          <w:r>
            <w:rPr>
              <w:rFonts w:ascii="仿宋_GB2312" w:eastAsia="仿宋_GB2312" w:cs="仿宋_GB2312" w:hint="eastAsia"/>
              <w:sz w:val="32"/>
              <w:szCs w:val="32"/>
            </w:rPr>
            <w:t>4</w:t>
          </w:r>
          <w:r>
            <w:rPr>
              <w:rFonts w:ascii="仿宋_GB2312" w:eastAsia="仿宋_GB2312" w:cs="仿宋_GB2312" w:hint="eastAsia"/>
              <w:sz w:val="32"/>
              <w:szCs w:val="32"/>
            </w:rPr>
            <w:fldChar w:fldCharType="end"/>
          </w:r>
        </w:p>
        <w:p>
          <w:pPr>
            <w:pStyle w:val="37"/>
            <w:tabs>
              <w:tab w:val="right" w:leader="dot" w:pos="8306"/>
            </w:tabs>
            <w:rPr>
              <w:rFonts w:ascii="仿宋_GB2312" w:eastAsia="仿宋_GB2312" w:cs="仿宋_GB2312" w:hint="eastAsia"/>
              <w:sz w:val="32"/>
              <w:szCs w:val="32"/>
            </w:rPr>
          </w:pPr>
          <w:sdt>
            <w:sdtPr>
              <w:rPr>
                <w:rFonts w:ascii="仿宋_GB2312" w:eastAsia="仿宋_GB2312" w:cs="仿宋_GB2312" w:hint="eastAsia"/>
                <w:kern w:val="2"/>
                <w:sz w:val="32"/>
                <w:szCs w:val="32"/>
                <w:lang w:val="en-US" w:eastAsia="zh-CN" w:bidi="ar-SA"/>
              </w:rPr>
              <w:id w:val="36901170"/>
              <w:placeholder>
                <w:docPart w:val="14DFAF6FE9F448EFAA9AF8ACDA844F9C"/>
              </w:placeholder>
            </w:sdtPr>
            <w:sdtContent>
              <w:r>
                <w:rPr>
                  <w:rFonts w:ascii="仿宋_GB2312" w:eastAsia="仿宋_GB2312" w:cs="仿宋_GB2312" w:hint="eastAsia"/>
                  <w:sz w:val="32"/>
                  <w:szCs w:val="32"/>
                </w:rPr>
                <w:fldChar w:fldCharType="begin"/>
              </w:r>
              <w:r>
                <w:instrText>HYPERLINK  \l "_Toc1308185382_WPSOffice_Level2"</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二、收入决算情况说明</w:t>
              </w:r>
            </w:sdtContent>
          </w:sdt>
          <w:r>
            <w:rPr>
              <w:rFonts w:ascii="仿宋_GB2312" w:eastAsia="仿宋_GB2312" w:cs="仿宋_GB2312" w:hint="eastAsia"/>
              <w:sz w:val="32"/>
              <w:szCs w:val="32"/>
            </w:rPr>
            <w:tab/>
          </w:r>
          <w:bookmarkStart w:id="19" w:name="_Toc1308185382_WPSOffice_Level2Page"/>
          <w:r>
            <w:rPr>
              <w:rFonts w:ascii="仿宋_GB2312" w:eastAsia="仿宋_GB2312" w:cs="仿宋_GB2312" w:hint="eastAsia"/>
              <w:sz w:val="32"/>
              <w:szCs w:val="32"/>
            </w:rPr>
            <w:t>4</w:t>
          </w:r>
          <w:r>
            <w:rPr>
              <w:rFonts w:ascii="仿宋_GB2312" w:eastAsia="仿宋_GB2312" w:cs="仿宋_GB2312" w:hint="eastAsia"/>
              <w:sz w:val="32"/>
              <w:szCs w:val="32"/>
            </w:rPr>
            <w:fldChar w:fldCharType="end"/>
          </w:r>
        </w:p>
        <w:p>
          <w:pPr>
            <w:pStyle w:val="37"/>
            <w:tabs>
              <w:tab w:val="right" w:leader="dot" w:pos="8306"/>
            </w:tabs>
            <w:rPr>
              <w:rFonts w:ascii="仿宋_GB2312" w:eastAsia="仿宋_GB2312" w:cs="仿宋_GB2312" w:hint="eastAsia"/>
              <w:sz w:val="32"/>
              <w:szCs w:val="32"/>
            </w:rPr>
          </w:pPr>
          <w:sdt>
            <w:sdtPr>
              <w:rPr>
                <w:rFonts w:ascii="仿宋_GB2312" w:eastAsia="仿宋_GB2312" w:cs="仿宋_GB2312" w:hint="eastAsia"/>
                <w:kern w:val="2"/>
                <w:sz w:val="32"/>
                <w:szCs w:val="32"/>
                <w:lang w:val="en-US" w:eastAsia="zh-CN" w:bidi="ar-SA"/>
              </w:rPr>
              <w:id w:val="2140911689"/>
              <w:placeholder>
                <w:docPart w:val="14DFAF6FE9F448EFAA9AF8ACDA844F9C"/>
              </w:placeholder>
            </w:sdtPr>
            <w:sdtContent>
              <w:r>
                <w:rPr>
                  <w:rFonts w:ascii="仿宋_GB2312" w:eastAsia="仿宋_GB2312" w:cs="仿宋_GB2312" w:hint="eastAsia"/>
                  <w:sz w:val="32"/>
                  <w:szCs w:val="32"/>
                </w:rPr>
                <w:fldChar w:fldCharType="begin"/>
              </w:r>
              <w:r>
                <w:instrText>HYPERLINK  \l "_Toc437745904_WPSOffice_Level2"</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三、支出决算情况说明</w:t>
              </w:r>
            </w:sdtContent>
          </w:sdt>
          <w:r>
            <w:rPr>
              <w:rFonts w:ascii="仿宋_GB2312" w:eastAsia="仿宋_GB2312" w:cs="仿宋_GB2312" w:hint="eastAsia"/>
              <w:sz w:val="32"/>
              <w:szCs w:val="32"/>
            </w:rPr>
            <w:tab/>
          </w:r>
          <w:bookmarkStart w:id="20" w:name="_Toc437745904_WPSOffice_Level2Page"/>
          <w:r>
            <w:rPr>
              <w:rFonts w:ascii="仿宋_GB2312" w:eastAsia="仿宋_GB2312" w:cs="仿宋_GB2312" w:hint="eastAsia"/>
              <w:sz w:val="32"/>
              <w:szCs w:val="32"/>
            </w:rPr>
            <w:t>5</w:t>
          </w:r>
          <w:r>
            <w:rPr>
              <w:rFonts w:ascii="仿宋_GB2312" w:eastAsia="仿宋_GB2312" w:cs="仿宋_GB2312" w:hint="eastAsia"/>
              <w:sz w:val="32"/>
              <w:szCs w:val="32"/>
            </w:rPr>
            <w:fldChar w:fldCharType="end"/>
          </w:r>
        </w:p>
        <w:p>
          <w:pPr>
            <w:pStyle w:val="37"/>
            <w:tabs>
              <w:tab w:val="right" w:leader="dot" w:pos="8306"/>
            </w:tabs>
            <w:rPr>
              <w:rFonts w:ascii="仿宋_GB2312" w:eastAsia="仿宋_GB2312" w:cs="仿宋_GB2312" w:hint="eastAsia"/>
              <w:sz w:val="32"/>
              <w:szCs w:val="32"/>
            </w:rPr>
          </w:pPr>
          <w:sdt>
            <w:sdtPr>
              <w:rPr>
                <w:rFonts w:ascii="仿宋_GB2312" w:eastAsia="仿宋_GB2312" w:cs="仿宋_GB2312" w:hint="eastAsia"/>
                <w:kern w:val="2"/>
                <w:sz w:val="32"/>
                <w:szCs w:val="32"/>
                <w:lang w:val="en-US" w:eastAsia="zh-CN" w:bidi="ar-SA"/>
              </w:rPr>
              <w:id w:val="-696590226"/>
              <w:placeholder>
                <w:docPart w:val="14DFAF6FE9F448EFAA9AF8ACDA844F9C"/>
              </w:placeholder>
            </w:sdtPr>
            <w:sdtContent>
              <w:r>
                <w:rPr>
                  <w:rFonts w:ascii="仿宋_GB2312" w:eastAsia="仿宋_GB2312" w:cs="仿宋_GB2312" w:hint="eastAsia"/>
                  <w:sz w:val="32"/>
                  <w:szCs w:val="32"/>
                </w:rPr>
                <w:fldChar w:fldCharType="begin"/>
              </w:r>
              <w:r>
                <w:instrText>HYPERLINK  \l "_Toc1373811995_WPSOffice_Level2"</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四、财政拨款收入支出决算总体情况说明</w:t>
              </w:r>
            </w:sdtContent>
          </w:sdt>
          <w:r>
            <w:rPr>
              <w:rFonts w:ascii="仿宋_GB2312" w:eastAsia="仿宋_GB2312" w:cs="仿宋_GB2312" w:hint="eastAsia"/>
              <w:sz w:val="32"/>
              <w:szCs w:val="32"/>
            </w:rPr>
            <w:tab/>
          </w:r>
          <w:bookmarkStart w:id="21" w:name="_Toc1373811995_WPSOffice_Level2Page"/>
          <w:r>
            <w:rPr>
              <w:rFonts w:ascii="仿宋_GB2312" w:eastAsia="仿宋_GB2312" w:cs="仿宋_GB2312" w:hint="eastAsia"/>
              <w:sz w:val="32"/>
              <w:szCs w:val="32"/>
            </w:rPr>
            <w:t>5</w:t>
          </w:r>
          <w:r>
            <w:rPr>
              <w:rFonts w:ascii="仿宋_GB2312" w:eastAsia="仿宋_GB2312" w:cs="仿宋_GB2312" w:hint="eastAsia"/>
              <w:sz w:val="32"/>
              <w:szCs w:val="32"/>
            </w:rPr>
            <w:fldChar w:fldCharType="end"/>
          </w:r>
        </w:p>
        <w:p>
          <w:pPr>
            <w:pStyle w:val="37"/>
            <w:tabs>
              <w:tab w:val="right" w:leader="dot" w:pos="8306"/>
            </w:tabs>
            <w:rPr>
              <w:rFonts w:ascii="仿宋_GB2312" w:eastAsia="仿宋_GB2312" w:cs="仿宋_GB2312" w:hint="eastAsia"/>
              <w:sz w:val="32"/>
              <w:szCs w:val="32"/>
            </w:rPr>
          </w:pPr>
          <w:sdt>
            <w:sdtPr>
              <w:rPr>
                <w:rFonts w:ascii="仿宋_GB2312" w:eastAsia="仿宋_GB2312" w:cs="仿宋_GB2312" w:hint="eastAsia"/>
                <w:kern w:val="2"/>
                <w:sz w:val="32"/>
                <w:szCs w:val="32"/>
                <w:lang w:val="en-US" w:eastAsia="zh-CN" w:bidi="ar-SA"/>
              </w:rPr>
              <w:id w:val="1372038983"/>
              <w:placeholder>
                <w:docPart w:val="14DFAF6FE9F448EFAA9AF8ACDA844F9C"/>
              </w:placeholder>
            </w:sdtPr>
            <w:sdtContent>
              <w:r>
                <w:rPr>
                  <w:rFonts w:ascii="仿宋_GB2312" w:eastAsia="仿宋_GB2312" w:cs="仿宋_GB2312" w:hint="eastAsia"/>
                  <w:sz w:val="32"/>
                  <w:szCs w:val="32"/>
                </w:rPr>
                <w:fldChar w:fldCharType="begin"/>
              </w:r>
              <w:r>
                <w:instrText>HYPERLINK  \l "_Toc1035046566_WPSOffice_Level2"</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五、一般公共预算财政拨款支出决算情况说明</w:t>
              </w:r>
            </w:sdtContent>
          </w:sdt>
          <w:r>
            <w:rPr>
              <w:rFonts w:ascii="仿宋_GB2312" w:eastAsia="仿宋_GB2312" w:cs="仿宋_GB2312" w:hint="eastAsia"/>
              <w:sz w:val="32"/>
              <w:szCs w:val="32"/>
            </w:rPr>
            <w:tab/>
          </w:r>
          <w:bookmarkStart w:id="22" w:name="_Toc1035046566_WPSOffice_Level2Page"/>
          <w:r>
            <w:rPr>
              <w:rFonts w:ascii="仿宋_GB2312" w:eastAsia="仿宋_GB2312" w:cs="仿宋_GB2312" w:hint="eastAsia"/>
              <w:sz w:val="32"/>
              <w:szCs w:val="32"/>
            </w:rPr>
            <w:t>6</w:t>
          </w:r>
          <w:r>
            <w:rPr>
              <w:rFonts w:ascii="仿宋_GB2312" w:eastAsia="仿宋_GB2312" w:cs="仿宋_GB2312" w:hint="eastAsia"/>
              <w:sz w:val="32"/>
              <w:szCs w:val="32"/>
            </w:rPr>
            <w:fldChar w:fldCharType="end"/>
          </w:r>
        </w:p>
        <w:p>
          <w:pPr>
            <w:pStyle w:val="37"/>
            <w:tabs>
              <w:tab w:val="right" w:leader="dot" w:pos="8306"/>
            </w:tabs>
            <w:rPr>
              <w:rFonts w:ascii="仿宋_GB2312" w:eastAsia="仿宋_GB2312" w:cs="仿宋_GB2312" w:hint="eastAsia"/>
              <w:sz w:val="32"/>
              <w:szCs w:val="32"/>
            </w:rPr>
          </w:pPr>
          <w:sdt>
            <w:sdtPr>
              <w:rPr>
                <w:rFonts w:ascii="仿宋_GB2312" w:eastAsia="仿宋_GB2312" w:cs="仿宋_GB2312" w:hint="eastAsia"/>
                <w:kern w:val="2"/>
                <w:sz w:val="32"/>
                <w:szCs w:val="32"/>
                <w:lang w:val="en-US" w:eastAsia="zh-CN" w:bidi="ar-SA"/>
              </w:rPr>
              <w:id w:val="-769177326"/>
              <w:placeholder>
                <w:docPart w:val="14DFAF6FE9F448EFAA9AF8ACDA844F9C"/>
              </w:placeholder>
            </w:sdtPr>
            <w:sdtContent>
              <w:r>
                <w:rPr>
                  <w:rFonts w:ascii="仿宋_GB2312" w:eastAsia="仿宋_GB2312" w:cs="仿宋_GB2312" w:hint="eastAsia"/>
                  <w:sz w:val="32"/>
                  <w:szCs w:val="32"/>
                </w:rPr>
                <w:fldChar w:fldCharType="begin"/>
              </w:r>
              <w:r>
                <w:instrText>HYPERLINK  \l "_Toc1038215216_WPSOffice_Level2"</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六、一般公共预算财政拨款基本支出决算情况说明</w:t>
              </w:r>
            </w:sdtContent>
          </w:sdt>
          <w:r>
            <w:rPr>
              <w:rFonts w:ascii="仿宋_GB2312" w:eastAsia="仿宋_GB2312" w:cs="仿宋_GB2312" w:hint="eastAsia"/>
              <w:sz w:val="32"/>
              <w:szCs w:val="32"/>
            </w:rPr>
            <w:tab/>
          </w:r>
          <w:bookmarkStart w:id="23" w:name="_Toc1038215216_WPSOffice_Level2Page"/>
          <w:r>
            <w:rPr>
              <w:rFonts w:ascii="仿宋_GB2312" w:eastAsia="仿宋_GB2312" w:cs="仿宋_GB2312" w:hint="eastAsia"/>
              <w:sz w:val="32"/>
              <w:szCs w:val="32"/>
            </w:rPr>
            <w:t>10</w:t>
          </w:r>
          <w:r>
            <w:rPr>
              <w:rFonts w:ascii="仿宋_GB2312" w:eastAsia="仿宋_GB2312" w:cs="仿宋_GB2312" w:hint="eastAsia"/>
              <w:sz w:val="32"/>
              <w:szCs w:val="32"/>
            </w:rPr>
            <w:fldChar w:fldCharType="end"/>
          </w:r>
        </w:p>
        <w:p>
          <w:pPr>
            <w:pStyle w:val="37"/>
            <w:tabs>
              <w:tab w:val="right" w:leader="dot" w:pos="8306"/>
            </w:tabs>
            <w:rPr>
              <w:rFonts w:ascii="仿宋_GB2312" w:eastAsia="仿宋_GB2312" w:cs="仿宋_GB2312" w:hint="eastAsia"/>
              <w:sz w:val="32"/>
              <w:szCs w:val="32"/>
            </w:rPr>
          </w:pPr>
          <w:sdt>
            <w:sdtPr>
              <w:rPr>
                <w:rFonts w:ascii="仿宋_GB2312" w:eastAsia="仿宋_GB2312" w:cs="仿宋_GB2312" w:hint="eastAsia"/>
                <w:kern w:val="2"/>
                <w:sz w:val="32"/>
                <w:szCs w:val="32"/>
                <w:lang w:val="en-US" w:eastAsia="zh-CN" w:bidi="ar-SA"/>
              </w:rPr>
              <w:id w:val="1650838876"/>
              <w:placeholder>
                <w:docPart w:val="14DFAF6FE9F448EFAA9AF8ACDA844F9C"/>
              </w:placeholder>
            </w:sdtPr>
            <w:sdtContent>
              <w:r>
                <w:rPr>
                  <w:rFonts w:ascii="仿宋_GB2312" w:eastAsia="仿宋_GB2312" w:cs="仿宋_GB2312" w:hint="eastAsia"/>
                  <w:sz w:val="32"/>
                  <w:szCs w:val="32"/>
                </w:rPr>
                <w:fldChar w:fldCharType="begin"/>
              </w:r>
              <w:r>
                <w:instrText>HYPERLINK  \l "_Toc1655537357_WPSOffice_Level2"</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七、财政拨款“三公”经费支出决算情况说明</w:t>
              </w:r>
            </w:sdtContent>
          </w:sdt>
          <w:r>
            <w:rPr>
              <w:rFonts w:ascii="仿宋_GB2312" w:eastAsia="仿宋_GB2312" w:cs="仿宋_GB2312" w:hint="eastAsia"/>
              <w:sz w:val="32"/>
              <w:szCs w:val="32"/>
            </w:rPr>
            <w:tab/>
          </w:r>
          <w:bookmarkStart w:id="24" w:name="_Toc1655537357_WPSOffice_Level2Page"/>
          <w:r>
            <w:rPr>
              <w:rFonts w:ascii="仿宋_GB2312" w:eastAsia="仿宋_GB2312" w:cs="仿宋_GB2312" w:hint="eastAsia"/>
              <w:sz w:val="32"/>
              <w:szCs w:val="32"/>
            </w:rPr>
            <w:t>10</w:t>
          </w:r>
          <w:r>
            <w:rPr>
              <w:rFonts w:ascii="仿宋_GB2312" w:eastAsia="仿宋_GB2312" w:cs="仿宋_GB2312" w:hint="eastAsia"/>
              <w:sz w:val="32"/>
              <w:szCs w:val="32"/>
            </w:rPr>
            <w:fldChar w:fldCharType="end"/>
          </w:r>
        </w:p>
        <w:p>
          <w:pPr>
            <w:pStyle w:val="37"/>
            <w:tabs>
              <w:tab w:val="right" w:leader="dot" w:pos="8306"/>
            </w:tabs>
            <w:rPr>
              <w:rFonts w:ascii="仿宋_GB2312" w:eastAsia="仿宋_GB2312" w:cs="仿宋_GB2312" w:hint="eastAsia"/>
              <w:sz w:val="32"/>
              <w:szCs w:val="32"/>
            </w:rPr>
          </w:pPr>
          <w:sdt>
            <w:sdtPr>
              <w:rPr>
                <w:rFonts w:ascii="仿宋_GB2312" w:eastAsia="仿宋_GB2312" w:cs="仿宋_GB2312" w:hint="eastAsia"/>
                <w:kern w:val="2"/>
                <w:sz w:val="32"/>
                <w:szCs w:val="32"/>
                <w:lang w:val="en-US" w:eastAsia="zh-CN" w:bidi="ar-SA"/>
              </w:rPr>
              <w:id w:val="1322908355"/>
              <w:placeholder>
                <w:docPart w:val="14DFAF6FE9F448EFAA9AF8ACDA844F9C"/>
              </w:placeholder>
            </w:sdtPr>
            <w:sdtContent>
              <w:r>
                <w:rPr>
                  <w:rFonts w:ascii="仿宋_GB2312" w:eastAsia="仿宋_GB2312" w:cs="仿宋_GB2312" w:hint="eastAsia"/>
                  <w:sz w:val="32"/>
                  <w:szCs w:val="32"/>
                </w:rPr>
                <w:fldChar w:fldCharType="begin"/>
              </w:r>
              <w:r>
                <w:instrText>HYPERLINK  \l "_Toc1124057292_WPSOffice_Level2"</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八、政府性基金预算支出决算情况说明</w:t>
              </w:r>
            </w:sdtContent>
          </w:sdt>
          <w:r>
            <w:rPr>
              <w:rFonts w:ascii="仿宋_GB2312" w:eastAsia="仿宋_GB2312" w:cs="仿宋_GB2312" w:hint="eastAsia"/>
              <w:sz w:val="32"/>
              <w:szCs w:val="32"/>
            </w:rPr>
            <w:tab/>
          </w:r>
          <w:bookmarkStart w:id="25" w:name="_Toc1124057292_WPSOffice_Level2Page"/>
          <w:r>
            <w:rPr>
              <w:rFonts w:ascii="仿宋_GB2312" w:eastAsia="仿宋_GB2312" w:cs="仿宋_GB2312" w:hint="eastAsia"/>
              <w:sz w:val="32"/>
              <w:szCs w:val="32"/>
            </w:rPr>
            <w:t>13</w:t>
          </w:r>
          <w:r>
            <w:rPr>
              <w:rFonts w:ascii="仿宋_GB2312" w:eastAsia="仿宋_GB2312" w:cs="仿宋_GB2312" w:hint="eastAsia"/>
              <w:sz w:val="32"/>
              <w:szCs w:val="32"/>
            </w:rPr>
            <w:fldChar w:fldCharType="end"/>
          </w:r>
        </w:p>
        <w:p>
          <w:pPr>
            <w:pStyle w:val="37"/>
            <w:tabs>
              <w:tab w:val="right" w:leader="dot" w:pos="8306"/>
            </w:tabs>
            <w:rPr>
              <w:rFonts w:ascii="仿宋_GB2312" w:eastAsia="仿宋_GB2312" w:cs="仿宋_GB2312" w:hint="eastAsia"/>
              <w:sz w:val="32"/>
              <w:szCs w:val="32"/>
            </w:rPr>
          </w:pPr>
          <w:sdt>
            <w:sdtPr>
              <w:rPr>
                <w:rFonts w:ascii="仿宋_GB2312" w:eastAsia="仿宋_GB2312" w:cs="仿宋_GB2312" w:hint="eastAsia"/>
                <w:kern w:val="2"/>
                <w:sz w:val="32"/>
                <w:szCs w:val="32"/>
                <w:lang w:val="en-US" w:eastAsia="zh-CN" w:bidi="ar-SA"/>
              </w:rPr>
              <w:id w:val="-699659343"/>
              <w:placeholder>
                <w:docPart w:val="14DFAF6FE9F448EFAA9AF8ACDA844F9C"/>
              </w:placeholder>
            </w:sdtPr>
            <w:sdtContent>
              <w:r>
                <w:rPr>
                  <w:rFonts w:ascii="仿宋_GB2312" w:eastAsia="仿宋_GB2312" w:cs="仿宋_GB2312" w:hint="eastAsia"/>
                  <w:sz w:val="32"/>
                  <w:szCs w:val="32"/>
                </w:rPr>
                <w:fldChar w:fldCharType="begin"/>
              </w:r>
              <w:r>
                <w:instrText>HYPERLINK  \l "_Toc399930058_WPSOffice_Level2"</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九、国有资本经营预算支出决算情况说明</w:t>
              </w:r>
            </w:sdtContent>
          </w:sdt>
          <w:r>
            <w:rPr>
              <w:rFonts w:ascii="仿宋_GB2312" w:eastAsia="仿宋_GB2312" w:cs="仿宋_GB2312" w:hint="eastAsia"/>
              <w:sz w:val="32"/>
              <w:szCs w:val="32"/>
            </w:rPr>
            <w:tab/>
          </w:r>
          <w:bookmarkStart w:id="26" w:name="_Toc399930058_WPSOffice_Level2Page"/>
          <w:r>
            <w:rPr>
              <w:rFonts w:ascii="仿宋_GB2312" w:eastAsia="仿宋_GB2312" w:cs="仿宋_GB2312" w:hint="eastAsia"/>
              <w:sz w:val="32"/>
              <w:szCs w:val="32"/>
            </w:rPr>
            <w:t>13</w:t>
          </w:r>
          <w:r>
            <w:rPr>
              <w:rFonts w:ascii="仿宋_GB2312" w:eastAsia="仿宋_GB2312" w:cs="仿宋_GB2312" w:hint="eastAsia"/>
              <w:sz w:val="32"/>
              <w:szCs w:val="32"/>
            </w:rPr>
            <w:fldChar w:fldCharType="end"/>
          </w:r>
        </w:p>
        <w:p>
          <w:pPr>
            <w:pStyle w:val="37"/>
            <w:tabs>
              <w:tab w:val="right" w:leader="dot" w:pos="8306"/>
            </w:tabs>
            <w:rPr>
              <w:rFonts w:ascii="仿宋_GB2312" w:eastAsia="仿宋_GB2312" w:cs="仿宋_GB2312" w:hint="eastAsia"/>
              <w:sz w:val="32"/>
              <w:szCs w:val="32"/>
            </w:rPr>
          </w:pPr>
          <w:sdt>
            <w:sdtPr>
              <w:rPr>
                <w:rFonts w:ascii="仿宋_GB2312" w:eastAsia="仿宋_GB2312" w:cs="仿宋_GB2312" w:hint="eastAsia"/>
                <w:kern w:val="2"/>
                <w:sz w:val="32"/>
                <w:szCs w:val="32"/>
                <w:lang w:val="en-US" w:eastAsia="zh-CN" w:bidi="ar-SA"/>
              </w:rPr>
              <w:id w:val="-295905158"/>
              <w:placeholder>
                <w:docPart w:val="14DFAF6FE9F448EFAA9AF8ACDA844F9C"/>
              </w:placeholder>
            </w:sdtPr>
            <w:sdtContent>
              <w:r>
                <w:rPr>
                  <w:rFonts w:ascii="仿宋_GB2312" w:eastAsia="仿宋_GB2312" w:cs="仿宋_GB2312" w:hint="eastAsia"/>
                  <w:sz w:val="32"/>
                  <w:szCs w:val="32"/>
                </w:rPr>
                <w:fldChar w:fldCharType="begin"/>
              </w:r>
              <w:r>
                <w:instrText>HYPERLINK  \l "_Toc689720838_WPSOffice_Level2"</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十、其他重要事项的情况说明</w:t>
              </w:r>
            </w:sdtContent>
          </w:sdt>
          <w:r>
            <w:rPr>
              <w:rFonts w:ascii="仿宋_GB2312" w:eastAsia="仿宋_GB2312" w:cs="仿宋_GB2312" w:hint="eastAsia"/>
              <w:sz w:val="32"/>
              <w:szCs w:val="32"/>
            </w:rPr>
            <w:tab/>
          </w:r>
          <w:bookmarkStart w:id="27" w:name="_Toc689720838_WPSOffice_Level2Page"/>
          <w:r>
            <w:rPr>
              <w:rFonts w:ascii="仿宋_GB2312" w:eastAsia="仿宋_GB2312" w:cs="仿宋_GB2312" w:hint="eastAsia"/>
              <w:sz w:val="32"/>
              <w:szCs w:val="32"/>
            </w:rPr>
            <w:t>13</w:t>
          </w:r>
          <w:r>
            <w:rPr>
              <w:rFonts w:ascii="仿宋_GB2312" w:eastAsia="仿宋_GB2312" w:cs="仿宋_GB2312" w:hint="eastAsia"/>
              <w:sz w:val="32"/>
              <w:szCs w:val="32"/>
            </w:rPr>
            <w:fldChar w:fldCharType="end"/>
          </w:r>
        </w:p>
        <w:p>
          <w:pPr>
            <w:pStyle w:val="36"/>
            <w:tabs>
              <w:tab w:val="right" w:leader="dot" w:pos="8306"/>
            </w:tabs>
            <w:rPr>
              <w:rFonts w:ascii="仿宋_GB2312" w:eastAsia="仿宋_GB2312" w:cs="仿宋_GB2312" w:hint="eastAsia"/>
              <w:b w:val="0"/>
              <w:bCs w:val="0"/>
              <w:sz w:val="32"/>
              <w:szCs w:val="32"/>
            </w:rPr>
          </w:pPr>
          <w:sdt>
            <w:sdtPr>
              <w:rPr>
                <w:rFonts w:ascii="仿宋_GB2312" w:eastAsia="仿宋_GB2312" w:cs="仿宋_GB2312" w:hint="eastAsia"/>
                <w:b w:val="0"/>
                <w:bCs w:val="0"/>
                <w:kern w:val="2"/>
                <w:sz w:val="32"/>
                <w:szCs w:val="32"/>
                <w:lang w:val="en-US" w:eastAsia="zh-CN" w:bidi="ar-SA"/>
              </w:rPr>
              <w:id w:val="1722739290"/>
              <w:placeholder>
                <w:docPart w:val="14DFAF6FE9F448EFAA9AF8ACDA844F9C"/>
              </w:placeholder>
            </w:sdtPr>
            <w:sdtContent>
              <w:r>
                <w:rPr>
                  <w:rFonts w:ascii="黑体" w:eastAsia="黑体" w:cs="黑体" w:hint="eastAsia"/>
                  <w:b w:val="0"/>
                  <w:bCs w:val="0"/>
                  <w:sz w:val="32"/>
                  <w:szCs w:val="32"/>
                </w:rPr>
                <w:fldChar w:fldCharType="begin"/>
              </w:r>
              <w:r>
                <w:instrText>HYPERLINK  \l "_Toc1123705102_WPSOffice_Level1"</w:instrText>
              </w:r>
              <w:r>
                <w:rPr>
                  <w:rFonts w:ascii="黑体" w:eastAsia="黑体" w:cs="黑体" w:hint="eastAsia"/>
                  <w:b w:val="0"/>
                  <w:bCs w:val="0"/>
                  <w:sz w:val="32"/>
                  <w:szCs w:val="32"/>
                </w:rPr>
                <w:fldChar w:fldCharType="separate"/>
              </w:r>
              <w:r>
                <w:rPr>
                  <w:rFonts w:ascii="黑体" w:eastAsia="黑体" w:cs="黑体" w:hint="eastAsia"/>
                  <w:b w:val="0"/>
                  <w:bCs w:val="0"/>
                  <w:sz w:val="32"/>
                  <w:szCs w:val="32"/>
                </w:rPr>
                <w:t>第三部分  名词解释</w:t>
              </w:r>
            </w:sdtContent>
          </w:sdt>
          <w:r>
            <w:rPr>
              <w:rFonts w:ascii="仿宋_GB2312" w:eastAsia="仿宋_GB2312" w:cs="仿宋_GB2312" w:hint="eastAsia"/>
              <w:b w:val="0"/>
              <w:bCs w:val="0"/>
              <w:sz w:val="32"/>
              <w:szCs w:val="32"/>
            </w:rPr>
            <w:tab/>
          </w:r>
          <w:bookmarkStart w:id="28" w:name="_Toc1123705102_WPSOffice_Level1Page"/>
          <w:r>
            <w:rPr>
              <w:rFonts w:ascii="仿宋_GB2312" w:eastAsia="仿宋_GB2312" w:cs="仿宋_GB2312" w:hint="eastAsia"/>
              <w:b w:val="0"/>
              <w:bCs w:val="0"/>
              <w:sz w:val="32"/>
              <w:szCs w:val="32"/>
            </w:rPr>
            <w:t>15</w:t>
          </w:r>
          <w:r>
            <w:rPr>
              <w:rFonts w:ascii="黑体" w:eastAsia="黑体" w:cs="黑体" w:hint="eastAsia"/>
              <w:b w:val="0"/>
              <w:bCs w:val="0"/>
              <w:sz w:val="32"/>
              <w:szCs w:val="32"/>
            </w:rPr>
            <w:fldChar w:fldCharType="end"/>
          </w:r>
        </w:p>
        <w:p>
          <w:pPr>
            <w:pStyle w:val="36"/>
            <w:tabs>
              <w:tab w:val="right" w:leader="dot" w:pos="8306"/>
            </w:tabs>
            <w:rPr>
              <w:rFonts w:ascii="仿宋_GB2312" w:eastAsia="仿宋_GB2312" w:cs="仿宋_GB2312" w:hint="eastAsia"/>
              <w:b w:val="0"/>
              <w:bCs w:val="0"/>
              <w:sz w:val="32"/>
              <w:szCs w:val="32"/>
            </w:rPr>
          </w:pPr>
          <w:sdt>
            <w:sdtPr>
              <w:rPr>
                <w:rFonts w:ascii="仿宋_GB2312" w:eastAsia="仿宋_GB2312" w:cs="仿宋_GB2312" w:hint="eastAsia"/>
                <w:b w:val="0"/>
                <w:bCs w:val="0"/>
                <w:kern w:val="2"/>
                <w:sz w:val="32"/>
                <w:szCs w:val="32"/>
                <w:lang w:val="en-US" w:eastAsia="zh-CN" w:bidi="ar-SA"/>
              </w:rPr>
              <w:id w:val="191955995"/>
              <w:placeholder>
                <w:docPart w:val="14DFAF6FE9F448EFAA9AF8ACDA844F9C"/>
              </w:placeholder>
            </w:sdtPr>
            <w:sdtContent>
              <w:r>
                <w:rPr>
                  <w:rFonts w:ascii="黑体" w:eastAsia="黑体" w:cs="黑体" w:hint="eastAsia"/>
                  <w:b w:val="0"/>
                  <w:bCs w:val="0"/>
                  <w:sz w:val="32"/>
                  <w:szCs w:val="32"/>
                </w:rPr>
                <w:fldChar w:fldCharType="begin"/>
              </w:r>
              <w:r>
                <w:instrText>HYPERLINK  \l "_Toc1154886502_WPSOffice_Level1"</w:instrText>
              </w:r>
              <w:r>
                <w:rPr>
                  <w:rFonts w:ascii="黑体" w:eastAsia="黑体" w:cs="黑体" w:hint="eastAsia"/>
                  <w:b w:val="0"/>
                  <w:bCs w:val="0"/>
                  <w:sz w:val="32"/>
                  <w:szCs w:val="32"/>
                </w:rPr>
                <w:fldChar w:fldCharType="separate"/>
              </w:r>
              <w:r>
                <w:rPr>
                  <w:rFonts w:ascii="黑体" w:eastAsia="黑体" w:cs="黑体" w:hint="eastAsia"/>
                  <w:b w:val="0"/>
                  <w:bCs w:val="0"/>
                  <w:sz w:val="32"/>
                  <w:szCs w:val="32"/>
                </w:rPr>
                <w:t>第四部分  附件</w:t>
              </w:r>
            </w:sdtContent>
          </w:sdt>
          <w:r>
            <w:rPr>
              <w:rFonts w:ascii="仿宋_GB2312" w:eastAsia="仿宋_GB2312" w:cs="仿宋_GB2312" w:hint="eastAsia"/>
              <w:b w:val="0"/>
              <w:bCs w:val="0"/>
              <w:sz w:val="32"/>
              <w:szCs w:val="32"/>
            </w:rPr>
            <w:tab/>
          </w:r>
          <w:bookmarkStart w:id="29" w:name="_Toc1154886502_WPSOffice_Level1Page"/>
          <w:r>
            <w:rPr>
              <w:rFonts w:ascii="仿宋_GB2312" w:eastAsia="仿宋_GB2312" w:cs="仿宋_GB2312" w:hint="eastAsia"/>
              <w:b w:val="0"/>
              <w:bCs w:val="0"/>
              <w:sz w:val="32"/>
              <w:szCs w:val="32"/>
            </w:rPr>
            <w:t>19</w:t>
          </w:r>
          <w:r>
            <w:rPr>
              <w:rFonts w:ascii="黑体" w:eastAsia="黑体" w:cs="黑体" w:hint="eastAsia"/>
              <w:b w:val="0"/>
              <w:bCs w:val="0"/>
              <w:sz w:val="32"/>
              <w:szCs w:val="32"/>
            </w:rPr>
            <w:fldChar w:fldCharType="end"/>
          </w:r>
        </w:p>
        <w:p>
          <w:pPr>
            <w:pStyle w:val="36"/>
            <w:tabs>
              <w:tab w:val="right" w:leader="dot" w:pos="8306"/>
            </w:tabs>
            <w:rPr>
              <w:rFonts w:ascii="仿宋_GB2312" w:eastAsia="仿宋_GB2312" w:cs="仿宋_GB2312" w:hint="eastAsia"/>
              <w:sz w:val="32"/>
              <w:szCs w:val="32"/>
            </w:rPr>
          </w:pPr>
          <w:sdt>
            <w:sdtPr>
              <w:rPr>
                <w:rFonts w:ascii="仿宋_GB2312" w:eastAsia="仿宋_GB2312" w:cs="仿宋_GB2312" w:hint="eastAsia"/>
                <w:b w:val="0"/>
                <w:bCs w:val="0"/>
                <w:kern w:val="2"/>
                <w:sz w:val="32"/>
                <w:szCs w:val="32"/>
                <w:lang w:val="en-US" w:eastAsia="zh-CN" w:bidi="ar-SA"/>
              </w:rPr>
              <w:id w:val="-777617607"/>
              <w:placeholder>
                <w:docPart w:val="14DFAF6FE9F448EFAA9AF8ACDA844F9C"/>
              </w:placeholder>
            </w:sdtPr>
            <w:sdtContent>
              <w:r>
                <w:rPr>
                  <w:rFonts w:ascii="黑体" w:eastAsia="黑体" w:cs="黑体" w:hint="eastAsia"/>
                  <w:b w:val="0"/>
                  <w:bCs w:val="0"/>
                  <w:sz w:val="32"/>
                  <w:szCs w:val="32"/>
                </w:rPr>
                <w:fldChar w:fldCharType="begin"/>
              </w:r>
              <w:r>
                <w:instrText>HYPERLINK  \l "_Toc1308185382_WPSOffice_Level1"</w:instrText>
              </w:r>
              <w:r>
                <w:rPr>
                  <w:rFonts w:ascii="黑体" w:eastAsia="黑体" w:cs="黑体" w:hint="eastAsia"/>
                  <w:b w:val="0"/>
                  <w:bCs w:val="0"/>
                  <w:sz w:val="32"/>
                  <w:szCs w:val="32"/>
                </w:rPr>
                <w:fldChar w:fldCharType="separate"/>
              </w:r>
              <w:r>
                <w:rPr>
                  <w:rFonts w:ascii="黑体" w:eastAsia="黑体" w:cs="黑体" w:hint="eastAsia"/>
                  <w:b w:val="0"/>
                  <w:bCs w:val="0"/>
                  <w:sz w:val="32"/>
                  <w:szCs w:val="32"/>
                </w:rPr>
                <w:t xml:space="preserve">第五部分 </w:t>
              </w:r>
              <w:r>
                <w:rPr>
                  <w:rFonts w:ascii="黑体" w:eastAsia="黑体" w:cs="黑体" w:hint="eastAsia"/>
                  <w:b w:val="0"/>
                  <w:bCs w:val="0"/>
                  <w:sz w:val="32"/>
                  <w:szCs w:val="32"/>
                  <w:lang w:val="en-US" w:eastAsia="zh-CN"/>
                </w:rPr>
                <w:t xml:space="preserve"> </w:t>
              </w:r>
              <w:r>
                <w:rPr>
                  <w:rFonts w:ascii="黑体" w:eastAsia="黑体" w:cs="黑体" w:hint="eastAsia"/>
                  <w:b w:val="0"/>
                  <w:bCs w:val="0"/>
                  <w:sz w:val="32"/>
                  <w:szCs w:val="32"/>
                </w:rPr>
                <w:t>附表</w:t>
              </w:r>
            </w:sdtContent>
          </w:sdt>
          <w:r>
            <w:rPr>
              <w:rFonts w:ascii="仿宋_GB2312" w:eastAsia="仿宋_GB2312" w:cs="仿宋_GB2312" w:hint="eastAsia"/>
              <w:b w:val="0"/>
              <w:bCs w:val="0"/>
              <w:sz w:val="32"/>
              <w:szCs w:val="32"/>
            </w:rPr>
            <w:tab/>
          </w:r>
          <w:bookmarkStart w:id="30" w:name="_Toc1308185382_WPSOffice_Level1Page"/>
          <w:r>
            <w:rPr>
              <w:rFonts w:ascii="仿宋_GB2312" w:eastAsia="仿宋_GB2312" w:cs="仿宋_GB2312" w:hint="eastAsia"/>
              <w:b w:val="0"/>
              <w:bCs w:val="0"/>
              <w:sz w:val="32"/>
              <w:szCs w:val="32"/>
            </w:rPr>
            <w:t>29</w:t>
          </w:r>
          <w:r>
            <w:rPr>
              <w:rFonts w:ascii="黑体" w:eastAsia="黑体" w:cs="黑体" w:hint="eastAsia"/>
              <w:b w:val="0"/>
              <w:bCs w:val="0"/>
              <w:sz w:val="32"/>
              <w:szCs w:val="32"/>
            </w:rPr>
            <w:fldChar w:fldCharType="end"/>
          </w:r>
        </w:p>
        <w:p>
          <w:pPr>
            <w:pStyle w:val="37"/>
            <w:tabs>
              <w:tab w:val="right" w:leader="dot" w:pos="8306"/>
            </w:tabs>
            <w:rPr>
              <w:rFonts w:ascii="仿宋_GB2312" w:eastAsia="仿宋_GB2312" w:cs="仿宋_GB2312" w:hint="eastAsia"/>
              <w:sz w:val="32"/>
              <w:szCs w:val="32"/>
            </w:rPr>
          </w:pPr>
          <w:sdt>
            <w:sdtPr>
              <w:rPr>
                <w:rFonts w:ascii="仿宋_GB2312" w:eastAsia="仿宋_GB2312" w:cs="仿宋_GB2312" w:hint="eastAsia"/>
                <w:kern w:val="2"/>
                <w:sz w:val="32"/>
                <w:szCs w:val="32"/>
                <w:lang w:val="en-US" w:eastAsia="zh-CN" w:bidi="ar-SA"/>
              </w:rPr>
              <w:id w:val="837420291"/>
              <w:placeholder>
                <w:docPart w:val="14DFAF6FE9F448EFAA9AF8ACDA844F9C"/>
              </w:placeholder>
            </w:sdtPr>
            <w:sdtContent>
              <w:r>
                <w:rPr>
                  <w:rFonts w:ascii="仿宋_GB2312" w:eastAsia="仿宋_GB2312" w:cs="仿宋_GB2312" w:hint="eastAsia"/>
                  <w:sz w:val="32"/>
                  <w:szCs w:val="32"/>
                </w:rPr>
                <w:fldChar w:fldCharType="begin"/>
              </w:r>
              <w:r>
                <w:instrText>HYPERLINK  \l "_Toc1661203603_WPSOffice_Level2"</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一、收入支出决算总表</w:t>
              </w:r>
            </w:sdtContent>
          </w:sdt>
          <w:r>
            <w:rPr>
              <w:rFonts w:ascii="仿宋_GB2312" w:eastAsia="仿宋_GB2312" w:cs="仿宋_GB2312" w:hint="eastAsia"/>
              <w:sz w:val="32"/>
              <w:szCs w:val="32"/>
            </w:rPr>
            <w:tab/>
          </w:r>
          <w:bookmarkStart w:id="31" w:name="_Toc1661203603_WPSOffice_Level2Page"/>
          <w:r>
            <w:rPr>
              <w:rFonts w:ascii="仿宋_GB2312" w:eastAsia="仿宋_GB2312" w:cs="仿宋_GB2312" w:hint="eastAsia"/>
              <w:sz w:val="32"/>
              <w:szCs w:val="32"/>
            </w:rPr>
            <w:t>29</w:t>
          </w:r>
          <w:r>
            <w:rPr>
              <w:rFonts w:ascii="仿宋_GB2312" w:eastAsia="仿宋_GB2312" w:cs="仿宋_GB2312" w:hint="eastAsia"/>
              <w:sz w:val="32"/>
              <w:szCs w:val="32"/>
            </w:rPr>
            <w:fldChar w:fldCharType="end"/>
          </w:r>
        </w:p>
        <w:p>
          <w:pPr>
            <w:pStyle w:val="37"/>
            <w:tabs>
              <w:tab w:val="right" w:leader="dot" w:pos="8306"/>
            </w:tabs>
            <w:rPr>
              <w:rFonts w:ascii="仿宋_GB2312" w:eastAsia="仿宋_GB2312" w:cs="仿宋_GB2312" w:hint="eastAsia"/>
              <w:sz w:val="32"/>
              <w:szCs w:val="32"/>
            </w:rPr>
          </w:pPr>
          <w:sdt>
            <w:sdtPr>
              <w:rPr>
                <w:rFonts w:ascii="仿宋_GB2312" w:eastAsia="仿宋_GB2312" w:cs="仿宋_GB2312" w:hint="eastAsia"/>
                <w:kern w:val="2"/>
                <w:sz w:val="32"/>
                <w:szCs w:val="32"/>
                <w:lang w:val="en-US" w:eastAsia="zh-CN" w:bidi="ar-SA"/>
              </w:rPr>
              <w:id w:val="-1229389595"/>
              <w:placeholder>
                <w:docPart w:val="14DFAF6FE9F448EFAA9AF8ACDA844F9C"/>
              </w:placeholder>
            </w:sdtPr>
            <w:sdtContent>
              <w:r>
                <w:rPr>
                  <w:rFonts w:ascii="仿宋_GB2312" w:eastAsia="仿宋_GB2312" w:cs="仿宋_GB2312" w:hint="eastAsia"/>
                  <w:sz w:val="32"/>
                  <w:szCs w:val="32"/>
                </w:rPr>
                <w:fldChar w:fldCharType="begin"/>
              </w:r>
              <w:r>
                <w:instrText>HYPERLINK  \l "_Toc1211562788_WPSOffice_Level2"</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二、收入决算表</w:t>
              </w:r>
            </w:sdtContent>
          </w:sdt>
          <w:r>
            <w:rPr>
              <w:rFonts w:ascii="仿宋_GB2312" w:eastAsia="仿宋_GB2312" w:cs="仿宋_GB2312" w:hint="eastAsia"/>
              <w:sz w:val="32"/>
              <w:szCs w:val="32"/>
            </w:rPr>
            <w:tab/>
          </w:r>
          <w:bookmarkStart w:id="32" w:name="_Toc1211562788_WPSOffice_Level2Page"/>
          <w:r>
            <w:rPr>
              <w:rFonts w:ascii="仿宋_GB2312" w:eastAsia="仿宋_GB2312" w:cs="仿宋_GB2312" w:hint="eastAsia"/>
              <w:sz w:val="32"/>
              <w:szCs w:val="32"/>
            </w:rPr>
            <w:t>29</w:t>
          </w:r>
          <w:r>
            <w:rPr>
              <w:rFonts w:ascii="仿宋_GB2312" w:eastAsia="仿宋_GB2312" w:cs="仿宋_GB2312" w:hint="eastAsia"/>
              <w:sz w:val="32"/>
              <w:szCs w:val="32"/>
            </w:rPr>
            <w:fldChar w:fldCharType="end"/>
          </w:r>
        </w:p>
        <w:p>
          <w:pPr>
            <w:pStyle w:val="37"/>
            <w:tabs>
              <w:tab w:val="right" w:leader="dot" w:pos="8306"/>
            </w:tabs>
            <w:rPr>
              <w:rFonts w:ascii="仿宋_GB2312" w:eastAsia="仿宋_GB2312" w:cs="仿宋_GB2312" w:hint="eastAsia"/>
              <w:sz w:val="32"/>
              <w:szCs w:val="32"/>
            </w:rPr>
          </w:pPr>
          <w:sdt>
            <w:sdtPr>
              <w:rPr>
                <w:rFonts w:ascii="仿宋_GB2312" w:eastAsia="仿宋_GB2312" w:cs="仿宋_GB2312" w:hint="eastAsia"/>
                <w:kern w:val="2"/>
                <w:sz w:val="32"/>
                <w:szCs w:val="32"/>
                <w:lang w:val="en-US" w:eastAsia="zh-CN" w:bidi="ar-SA"/>
              </w:rPr>
              <w:id w:val="1721808671"/>
              <w:placeholder>
                <w:docPart w:val="14DFAF6FE9F448EFAA9AF8ACDA844F9C"/>
              </w:placeholder>
            </w:sdtPr>
            <w:sdtContent>
              <w:r>
                <w:rPr>
                  <w:rFonts w:ascii="仿宋_GB2312" w:eastAsia="仿宋_GB2312" w:cs="仿宋_GB2312" w:hint="eastAsia"/>
                  <w:sz w:val="32"/>
                  <w:szCs w:val="32"/>
                </w:rPr>
                <w:fldChar w:fldCharType="begin"/>
              </w:r>
              <w:r>
                <w:instrText>HYPERLINK  \l "_Toc2075949890_WPSOffice_Level2"</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三、支出决算表</w:t>
              </w:r>
            </w:sdtContent>
          </w:sdt>
          <w:r>
            <w:rPr>
              <w:rFonts w:ascii="仿宋_GB2312" w:eastAsia="仿宋_GB2312" w:cs="仿宋_GB2312" w:hint="eastAsia"/>
              <w:sz w:val="32"/>
              <w:szCs w:val="32"/>
            </w:rPr>
            <w:tab/>
          </w:r>
          <w:bookmarkStart w:id="33" w:name="_Toc2075949890_WPSOffice_Level2Page"/>
          <w:r>
            <w:rPr>
              <w:rFonts w:ascii="仿宋_GB2312" w:eastAsia="仿宋_GB2312" w:cs="仿宋_GB2312" w:hint="eastAsia"/>
              <w:sz w:val="32"/>
              <w:szCs w:val="32"/>
            </w:rPr>
            <w:t>29</w:t>
          </w:r>
          <w:r>
            <w:rPr>
              <w:rFonts w:ascii="仿宋_GB2312" w:eastAsia="仿宋_GB2312" w:cs="仿宋_GB2312" w:hint="eastAsia"/>
              <w:sz w:val="32"/>
              <w:szCs w:val="32"/>
            </w:rPr>
            <w:fldChar w:fldCharType="end"/>
          </w:r>
        </w:p>
        <w:p>
          <w:pPr>
            <w:pStyle w:val="37"/>
            <w:tabs>
              <w:tab w:val="right" w:leader="dot" w:pos="8306"/>
            </w:tabs>
            <w:rPr>
              <w:rFonts w:ascii="仿宋_GB2312" w:eastAsia="仿宋_GB2312" w:cs="仿宋_GB2312" w:hint="eastAsia"/>
              <w:sz w:val="32"/>
              <w:szCs w:val="32"/>
            </w:rPr>
          </w:pPr>
          <w:sdt>
            <w:sdtPr>
              <w:rPr>
                <w:rFonts w:ascii="仿宋_GB2312" w:eastAsia="仿宋_GB2312" w:cs="仿宋_GB2312" w:hint="eastAsia"/>
                <w:kern w:val="2"/>
                <w:sz w:val="32"/>
                <w:szCs w:val="32"/>
                <w:lang w:val="en-US" w:eastAsia="zh-CN" w:bidi="ar-SA"/>
              </w:rPr>
              <w:id w:val="996762610"/>
              <w:placeholder>
                <w:docPart w:val="14DFAF6FE9F448EFAA9AF8ACDA844F9C"/>
              </w:placeholder>
            </w:sdtPr>
            <w:sdtContent>
              <w:r>
                <w:rPr>
                  <w:rFonts w:ascii="仿宋_GB2312" w:eastAsia="仿宋_GB2312" w:cs="仿宋_GB2312" w:hint="eastAsia"/>
                  <w:sz w:val="32"/>
                  <w:szCs w:val="32"/>
                </w:rPr>
                <w:fldChar w:fldCharType="begin"/>
              </w:r>
              <w:r>
                <w:instrText>HYPERLINK  \l "_Toc484327520_WPSOffice_Level2"</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四、财政拨款收入支出决算总表</w:t>
              </w:r>
            </w:sdtContent>
          </w:sdt>
          <w:r>
            <w:rPr>
              <w:rFonts w:ascii="仿宋_GB2312" w:eastAsia="仿宋_GB2312" w:cs="仿宋_GB2312" w:hint="eastAsia"/>
              <w:sz w:val="32"/>
              <w:szCs w:val="32"/>
            </w:rPr>
            <w:tab/>
          </w:r>
          <w:bookmarkStart w:id="34" w:name="_Toc484327520_WPSOffice_Level2Page"/>
          <w:r>
            <w:rPr>
              <w:rFonts w:ascii="仿宋_GB2312" w:eastAsia="仿宋_GB2312" w:cs="仿宋_GB2312" w:hint="eastAsia"/>
              <w:sz w:val="32"/>
              <w:szCs w:val="32"/>
            </w:rPr>
            <w:t>29</w:t>
          </w:r>
          <w:r>
            <w:rPr>
              <w:rFonts w:ascii="仿宋_GB2312" w:eastAsia="仿宋_GB2312" w:cs="仿宋_GB2312" w:hint="eastAsia"/>
              <w:sz w:val="32"/>
              <w:szCs w:val="32"/>
            </w:rPr>
            <w:fldChar w:fldCharType="end"/>
          </w:r>
        </w:p>
        <w:p>
          <w:pPr>
            <w:pStyle w:val="37"/>
            <w:tabs>
              <w:tab w:val="right" w:leader="dot" w:pos="8306"/>
            </w:tabs>
            <w:rPr>
              <w:rFonts w:ascii="仿宋_GB2312" w:eastAsia="仿宋_GB2312" w:cs="仿宋_GB2312" w:hint="eastAsia"/>
              <w:sz w:val="32"/>
              <w:szCs w:val="32"/>
            </w:rPr>
          </w:pPr>
          <w:sdt>
            <w:sdtPr>
              <w:rPr>
                <w:rFonts w:ascii="仿宋_GB2312" w:eastAsia="仿宋_GB2312" w:cs="仿宋_GB2312" w:hint="eastAsia"/>
                <w:kern w:val="2"/>
                <w:sz w:val="32"/>
                <w:szCs w:val="32"/>
                <w:lang w:val="en-US" w:eastAsia="zh-CN" w:bidi="ar-SA"/>
              </w:rPr>
              <w:id w:val="1695998037"/>
              <w:placeholder>
                <w:docPart w:val="14DFAF6FE9F448EFAA9AF8ACDA844F9C"/>
              </w:placeholder>
            </w:sdtPr>
            <w:sdtContent>
              <w:r>
                <w:rPr>
                  <w:rFonts w:ascii="仿宋_GB2312" w:eastAsia="仿宋_GB2312" w:cs="仿宋_GB2312" w:hint="eastAsia"/>
                  <w:sz w:val="32"/>
                  <w:szCs w:val="32"/>
                </w:rPr>
                <w:fldChar w:fldCharType="begin"/>
              </w:r>
              <w:r>
                <w:instrText>HYPERLINK  \l "_Toc1500766610_WPSOffice_Level2"</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五、财政拨款支出决算明细表</w:t>
              </w:r>
            </w:sdtContent>
          </w:sdt>
          <w:r>
            <w:rPr>
              <w:rFonts w:ascii="仿宋_GB2312" w:eastAsia="仿宋_GB2312" w:cs="仿宋_GB2312" w:hint="eastAsia"/>
              <w:sz w:val="32"/>
              <w:szCs w:val="32"/>
            </w:rPr>
            <w:tab/>
          </w:r>
          <w:bookmarkStart w:id="35" w:name="_Toc1500766610_WPSOffice_Level2Page"/>
          <w:r>
            <w:rPr>
              <w:rFonts w:ascii="仿宋_GB2312" w:eastAsia="仿宋_GB2312" w:cs="仿宋_GB2312" w:hint="eastAsia"/>
              <w:sz w:val="32"/>
              <w:szCs w:val="32"/>
            </w:rPr>
            <w:t>29</w:t>
          </w:r>
          <w:r>
            <w:rPr>
              <w:rFonts w:ascii="仿宋_GB2312" w:eastAsia="仿宋_GB2312" w:cs="仿宋_GB2312" w:hint="eastAsia"/>
              <w:sz w:val="32"/>
              <w:szCs w:val="32"/>
            </w:rPr>
            <w:fldChar w:fldCharType="end"/>
          </w:r>
        </w:p>
        <w:p>
          <w:pPr>
            <w:pStyle w:val="37"/>
            <w:tabs>
              <w:tab w:val="right" w:leader="dot" w:pos="8306"/>
            </w:tabs>
            <w:rPr>
              <w:rFonts w:ascii="仿宋_GB2312" w:eastAsia="仿宋_GB2312" w:cs="仿宋_GB2312" w:hint="eastAsia"/>
              <w:sz w:val="32"/>
              <w:szCs w:val="32"/>
            </w:rPr>
          </w:pPr>
          <w:sdt>
            <w:sdtPr>
              <w:rPr>
                <w:rFonts w:ascii="仿宋_GB2312" w:eastAsia="仿宋_GB2312" w:cs="仿宋_GB2312" w:hint="eastAsia"/>
                <w:kern w:val="2"/>
                <w:sz w:val="32"/>
                <w:szCs w:val="32"/>
                <w:lang w:val="en-US" w:eastAsia="zh-CN" w:bidi="ar-SA"/>
              </w:rPr>
              <w:id w:val="-1577337025"/>
              <w:placeholder>
                <w:docPart w:val="14DFAF6FE9F448EFAA9AF8ACDA844F9C"/>
              </w:placeholder>
            </w:sdtPr>
            <w:sdtContent>
              <w:r>
                <w:rPr>
                  <w:rFonts w:ascii="仿宋_GB2312" w:eastAsia="仿宋_GB2312" w:cs="仿宋_GB2312" w:hint="eastAsia"/>
                  <w:sz w:val="32"/>
                  <w:szCs w:val="32"/>
                </w:rPr>
                <w:fldChar w:fldCharType="begin"/>
              </w:r>
              <w:r>
                <w:instrText>HYPERLINK  \l "_Toc1425922913_WPSOffice_Level2"</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六、一般公共预算财政拨款支出决算表</w:t>
              </w:r>
            </w:sdtContent>
          </w:sdt>
          <w:r>
            <w:rPr>
              <w:rFonts w:ascii="仿宋_GB2312" w:eastAsia="仿宋_GB2312" w:cs="仿宋_GB2312" w:hint="eastAsia"/>
              <w:sz w:val="32"/>
              <w:szCs w:val="32"/>
            </w:rPr>
            <w:tab/>
          </w:r>
          <w:bookmarkStart w:id="36" w:name="_Toc1425922913_WPSOffice_Level2Page"/>
          <w:r>
            <w:rPr>
              <w:rFonts w:ascii="仿宋_GB2312" w:eastAsia="仿宋_GB2312" w:cs="仿宋_GB2312" w:hint="eastAsia"/>
              <w:sz w:val="32"/>
              <w:szCs w:val="32"/>
            </w:rPr>
            <w:t>29</w:t>
          </w:r>
          <w:r>
            <w:rPr>
              <w:rFonts w:ascii="仿宋_GB2312" w:eastAsia="仿宋_GB2312" w:cs="仿宋_GB2312" w:hint="eastAsia"/>
              <w:sz w:val="32"/>
              <w:szCs w:val="32"/>
            </w:rPr>
            <w:fldChar w:fldCharType="end"/>
          </w:r>
        </w:p>
        <w:p>
          <w:pPr>
            <w:pStyle w:val="37"/>
            <w:tabs>
              <w:tab w:val="right" w:leader="dot" w:pos="8306"/>
            </w:tabs>
            <w:rPr>
              <w:rFonts w:ascii="仿宋_GB2312" w:eastAsia="仿宋_GB2312" w:cs="仿宋_GB2312" w:hint="eastAsia"/>
              <w:sz w:val="32"/>
              <w:szCs w:val="32"/>
            </w:rPr>
          </w:pPr>
          <w:sdt>
            <w:sdtPr>
              <w:rPr>
                <w:rFonts w:ascii="仿宋_GB2312" w:eastAsia="仿宋_GB2312" w:cs="仿宋_GB2312" w:hint="eastAsia"/>
                <w:kern w:val="2"/>
                <w:sz w:val="32"/>
                <w:szCs w:val="32"/>
                <w:lang w:val="en-US" w:eastAsia="zh-CN" w:bidi="ar-SA"/>
              </w:rPr>
              <w:id w:val="730791025"/>
              <w:placeholder>
                <w:docPart w:val="14DFAF6FE9F448EFAA9AF8ACDA844F9C"/>
              </w:placeholder>
            </w:sdtPr>
            <w:sdtContent>
              <w:r>
                <w:rPr>
                  <w:rFonts w:ascii="仿宋_GB2312" w:eastAsia="仿宋_GB2312" w:cs="仿宋_GB2312" w:hint="eastAsia"/>
                  <w:sz w:val="32"/>
                  <w:szCs w:val="32"/>
                </w:rPr>
                <w:fldChar w:fldCharType="begin"/>
              </w:r>
              <w:r>
                <w:instrText>HYPERLINK  \l "_Toc1602408240_WPSOffice_Level2"</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七、一般公共预算财政拨款支出决算明细表</w:t>
              </w:r>
            </w:sdtContent>
          </w:sdt>
          <w:r>
            <w:rPr>
              <w:rFonts w:ascii="仿宋_GB2312" w:eastAsia="仿宋_GB2312" w:cs="仿宋_GB2312" w:hint="eastAsia"/>
              <w:sz w:val="32"/>
              <w:szCs w:val="32"/>
            </w:rPr>
            <w:tab/>
          </w:r>
          <w:bookmarkStart w:id="37" w:name="_Toc1602408240_WPSOffice_Level2Page"/>
          <w:r>
            <w:rPr>
              <w:rFonts w:ascii="仿宋_GB2312" w:eastAsia="仿宋_GB2312" w:cs="仿宋_GB2312" w:hint="eastAsia"/>
              <w:sz w:val="32"/>
              <w:szCs w:val="32"/>
            </w:rPr>
            <w:t>29</w:t>
          </w:r>
          <w:r>
            <w:rPr>
              <w:rFonts w:ascii="仿宋_GB2312" w:eastAsia="仿宋_GB2312" w:cs="仿宋_GB2312" w:hint="eastAsia"/>
              <w:sz w:val="32"/>
              <w:szCs w:val="32"/>
            </w:rPr>
            <w:fldChar w:fldCharType="end"/>
          </w:r>
        </w:p>
        <w:p>
          <w:pPr>
            <w:pStyle w:val="37"/>
            <w:tabs>
              <w:tab w:val="right" w:leader="dot" w:pos="8306"/>
            </w:tabs>
            <w:rPr>
              <w:rFonts w:ascii="仿宋_GB2312" w:eastAsia="仿宋_GB2312" w:cs="仿宋_GB2312" w:hint="eastAsia"/>
              <w:sz w:val="32"/>
              <w:szCs w:val="32"/>
            </w:rPr>
          </w:pPr>
          <w:sdt>
            <w:sdtPr>
              <w:rPr>
                <w:rFonts w:ascii="仿宋_GB2312" w:eastAsia="仿宋_GB2312" w:cs="仿宋_GB2312" w:hint="eastAsia"/>
                <w:kern w:val="2"/>
                <w:sz w:val="32"/>
                <w:szCs w:val="32"/>
                <w:lang w:val="en-US" w:eastAsia="zh-CN" w:bidi="ar-SA"/>
              </w:rPr>
              <w:id w:val="1392793859"/>
              <w:placeholder>
                <w:docPart w:val="14DFAF6FE9F448EFAA9AF8ACDA844F9C"/>
              </w:placeholder>
            </w:sdtPr>
            <w:sdtContent>
              <w:r>
                <w:rPr>
                  <w:rFonts w:ascii="仿宋_GB2312" w:eastAsia="仿宋_GB2312" w:cs="仿宋_GB2312" w:hint="eastAsia"/>
                  <w:sz w:val="32"/>
                  <w:szCs w:val="32"/>
                </w:rPr>
                <w:fldChar w:fldCharType="begin"/>
              </w:r>
              <w:r>
                <w:instrText>HYPERLINK  \l "_Toc2003632125_WPSOffice_Level2"</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八、一般公共预算财政拨款基本支出决算表</w:t>
              </w:r>
            </w:sdtContent>
          </w:sdt>
          <w:r>
            <w:rPr>
              <w:rFonts w:ascii="仿宋_GB2312" w:eastAsia="仿宋_GB2312" w:cs="仿宋_GB2312" w:hint="eastAsia"/>
              <w:sz w:val="32"/>
              <w:szCs w:val="32"/>
            </w:rPr>
            <w:tab/>
          </w:r>
          <w:bookmarkStart w:id="38" w:name="_Toc2003632125_WPSOffice_Level2Page"/>
          <w:r>
            <w:rPr>
              <w:rFonts w:ascii="仿宋_GB2312" w:eastAsia="仿宋_GB2312" w:cs="仿宋_GB2312" w:hint="eastAsia"/>
              <w:sz w:val="32"/>
              <w:szCs w:val="32"/>
            </w:rPr>
            <w:t>29</w:t>
          </w:r>
          <w:r>
            <w:rPr>
              <w:rFonts w:ascii="仿宋_GB2312" w:eastAsia="仿宋_GB2312" w:cs="仿宋_GB2312" w:hint="eastAsia"/>
              <w:sz w:val="32"/>
              <w:szCs w:val="32"/>
            </w:rPr>
            <w:fldChar w:fldCharType="end"/>
          </w:r>
        </w:p>
        <w:p>
          <w:pPr>
            <w:pStyle w:val="37"/>
            <w:tabs>
              <w:tab w:val="right" w:leader="dot" w:pos="8306"/>
            </w:tabs>
            <w:rPr>
              <w:rFonts w:ascii="仿宋_GB2312" w:eastAsia="仿宋_GB2312" w:cs="仿宋_GB2312" w:hint="eastAsia"/>
              <w:sz w:val="32"/>
              <w:szCs w:val="32"/>
            </w:rPr>
          </w:pPr>
          <w:sdt>
            <w:sdtPr>
              <w:rPr>
                <w:rFonts w:ascii="仿宋_GB2312" w:eastAsia="仿宋_GB2312" w:cs="仿宋_GB2312" w:hint="eastAsia"/>
                <w:kern w:val="2"/>
                <w:sz w:val="32"/>
                <w:szCs w:val="32"/>
                <w:lang w:val="en-US" w:eastAsia="zh-CN" w:bidi="ar-SA"/>
              </w:rPr>
              <w:id w:val="-1297310540"/>
              <w:placeholder>
                <w:docPart w:val="14DFAF6FE9F448EFAA9AF8ACDA844F9C"/>
              </w:placeholder>
            </w:sdtPr>
            <w:sdtContent>
              <w:r>
                <w:rPr>
                  <w:rFonts w:ascii="仿宋_GB2312" w:eastAsia="仿宋_GB2312" w:cs="仿宋_GB2312" w:hint="eastAsia"/>
                  <w:sz w:val="32"/>
                  <w:szCs w:val="32"/>
                </w:rPr>
                <w:fldChar w:fldCharType="begin"/>
              </w:r>
              <w:r>
                <w:instrText>HYPERLINK  \l "_Toc899801685_WPSOffice_Level2"</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九、一般公共预算财政拨款项目支出决算表</w:t>
              </w:r>
            </w:sdtContent>
          </w:sdt>
          <w:r>
            <w:rPr>
              <w:rFonts w:ascii="仿宋_GB2312" w:eastAsia="仿宋_GB2312" w:cs="仿宋_GB2312" w:hint="eastAsia"/>
              <w:sz w:val="32"/>
              <w:szCs w:val="32"/>
            </w:rPr>
            <w:tab/>
          </w:r>
          <w:bookmarkStart w:id="39" w:name="_Toc899801685_WPSOffice_Level2Page"/>
          <w:r>
            <w:rPr>
              <w:rFonts w:ascii="仿宋_GB2312" w:eastAsia="仿宋_GB2312" w:cs="仿宋_GB2312" w:hint="eastAsia"/>
              <w:sz w:val="32"/>
              <w:szCs w:val="32"/>
            </w:rPr>
            <w:t>29</w:t>
          </w:r>
          <w:r>
            <w:rPr>
              <w:rFonts w:ascii="仿宋_GB2312" w:eastAsia="仿宋_GB2312" w:cs="仿宋_GB2312" w:hint="eastAsia"/>
              <w:sz w:val="32"/>
              <w:szCs w:val="32"/>
            </w:rPr>
            <w:fldChar w:fldCharType="end"/>
          </w:r>
        </w:p>
        <w:p>
          <w:pPr>
            <w:pStyle w:val="37"/>
            <w:tabs>
              <w:tab w:val="right" w:leader="dot" w:pos="8306"/>
            </w:tabs>
            <w:rPr>
              <w:rFonts w:ascii="仿宋_GB2312" w:eastAsia="仿宋_GB2312" w:cs="仿宋_GB2312" w:hint="eastAsia"/>
              <w:sz w:val="32"/>
              <w:szCs w:val="32"/>
            </w:rPr>
          </w:pPr>
          <w:sdt>
            <w:sdtPr>
              <w:rPr>
                <w:rFonts w:ascii="仿宋_GB2312" w:eastAsia="仿宋_GB2312" w:cs="仿宋_GB2312" w:hint="eastAsia"/>
                <w:kern w:val="2"/>
                <w:sz w:val="32"/>
                <w:szCs w:val="32"/>
                <w:lang w:val="en-US" w:eastAsia="zh-CN" w:bidi="ar-SA"/>
              </w:rPr>
              <w:id w:val="1137959068"/>
              <w:placeholder>
                <w:docPart w:val="14DFAF6FE9F448EFAA9AF8ACDA844F9C"/>
              </w:placeholder>
            </w:sdtPr>
            <w:sdtContent>
              <w:r>
                <w:rPr>
                  <w:rFonts w:ascii="仿宋_GB2312" w:eastAsia="仿宋_GB2312" w:cs="仿宋_GB2312" w:hint="eastAsia"/>
                  <w:sz w:val="32"/>
                  <w:szCs w:val="32"/>
                </w:rPr>
                <w:fldChar w:fldCharType="begin"/>
              </w:r>
              <w:r>
                <w:instrText>HYPERLINK  \l "_Toc1275508005_WPSOffice_Level2"</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十、政府性基金预算财政拨款收入支出决算表</w:t>
              </w:r>
            </w:sdtContent>
          </w:sdt>
          <w:r>
            <w:rPr>
              <w:rFonts w:ascii="仿宋_GB2312" w:eastAsia="仿宋_GB2312" w:cs="仿宋_GB2312" w:hint="eastAsia"/>
              <w:sz w:val="32"/>
              <w:szCs w:val="32"/>
            </w:rPr>
            <w:tab/>
          </w:r>
          <w:bookmarkStart w:id="40" w:name="_Toc1275508005_WPSOffice_Level2Page"/>
          <w:r>
            <w:rPr>
              <w:rFonts w:ascii="仿宋_GB2312" w:eastAsia="仿宋_GB2312" w:cs="仿宋_GB2312" w:hint="eastAsia"/>
              <w:sz w:val="32"/>
              <w:szCs w:val="32"/>
            </w:rPr>
            <w:t>29</w:t>
          </w:r>
          <w:r>
            <w:rPr>
              <w:rFonts w:ascii="仿宋_GB2312" w:eastAsia="仿宋_GB2312" w:cs="仿宋_GB2312" w:hint="eastAsia"/>
              <w:sz w:val="32"/>
              <w:szCs w:val="32"/>
            </w:rPr>
            <w:fldChar w:fldCharType="end"/>
          </w:r>
        </w:p>
        <w:p>
          <w:pPr>
            <w:pStyle w:val="37"/>
            <w:tabs>
              <w:tab w:val="right" w:leader="dot" w:pos="8306"/>
            </w:tabs>
            <w:rPr>
              <w:rFonts w:ascii="仿宋_GB2312" w:eastAsia="仿宋_GB2312" w:cs="仿宋_GB2312" w:hint="eastAsia"/>
              <w:sz w:val="32"/>
              <w:szCs w:val="32"/>
            </w:rPr>
          </w:pPr>
          <w:sdt>
            <w:sdtPr>
              <w:rPr>
                <w:rFonts w:ascii="仿宋_GB2312" w:eastAsia="仿宋_GB2312" w:cs="仿宋_GB2312" w:hint="eastAsia"/>
                <w:kern w:val="2"/>
                <w:sz w:val="32"/>
                <w:szCs w:val="32"/>
                <w:lang w:val="en-US" w:eastAsia="zh-CN" w:bidi="ar-SA"/>
              </w:rPr>
              <w:id w:val="51949589"/>
              <w:placeholder>
                <w:docPart w:val="14DFAF6FE9F448EFAA9AF8ACDA844F9C"/>
              </w:placeholder>
            </w:sdtPr>
            <w:sdtContent>
              <w:r>
                <w:rPr>
                  <w:rFonts w:ascii="仿宋_GB2312" w:eastAsia="仿宋_GB2312" w:cs="仿宋_GB2312" w:hint="eastAsia"/>
                  <w:sz w:val="32"/>
                  <w:szCs w:val="32"/>
                </w:rPr>
                <w:fldChar w:fldCharType="begin"/>
              </w:r>
              <w:r>
                <w:instrText>HYPERLINK  \l "_Toc606913452_WPSOffice_Level2"</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十一、国有资本经营预算财政拨款收入支出决算表</w:t>
              </w:r>
            </w:sdtContent>
          </w:sdt>
          <w:r>
            <w:rPr>
              <w:rFonts w:ascii="仿宋_GB2312" w:eastAsia="仿宋_GB2312" w:cs="仿宋_GB2312" w:hint="eastAsia"/>
              <w:sz w:val="32"/>
              <w:szCs w:val="32"/>
            </w:rPr>
            <w:tab/>
          </w:r>
          <w:bookmarkStart w:id="41" w:name="_Toc606913452_WPSOffice_Level2Page"/>
          <w:r>
            <w:rPr>
              <w:rFonts w:ascii="仿宋_GB2312" w:eastAsia="仿宋_GB2312" w:cs="仿宋_GB2312" w:hint="eastAsia"/>
              <w:sz w:val="32"/>
              <w:szCs w:val="32"/>
            </w:rPr>
            <w:t>29</w:t>
          </w:r>
          <w:r>
            <w:rPr>
              <w:rFonts w:ascii="仿宋_GB2312" w:eastAsia="仿宋_GB2312" w:cs="仿宋_GB2312" w:hint="eastAsia"/>
              <w:sz w:val="32"/>
              <w:szCs w:val="32"/>
            </w:rPr>
            <w:fldChar w:fldCharType="end"/>
          </w:r>
        </w:p>
        <w:p>
          <w:pPr>
            <w:pStyle w:val="37"/>
            <w:tabs>
              <w:tab w:val="right" w:leader="dot" w:pos="8306"/>
            </w:tabs>
            <w:rPr>
              <w:rFonts w:ascii="仿宋_GB2312" w:eastAsia="仿宋_GB2312" w:cs="仿宋_GB2312" w:hint="eastAsia"/>
              <w:sz w:val="32"/>
              <w:szCs w:val="32"/>
            </w:rPr>
          </w:pPr>
          <w:sdt>
            <w:sdtPr>
              <w:rPr>
                <w:rFonts w:ascii="仿宋_GB2312" w:eastAsia="仿宋_GB2312" w:cs="仿宋_GB2312" w:hint="eastAsia"/>
                <w:kern w:val="2"/>
                <w:sz w:val="32"/>
                <w:szCs w:val="32"/>
                <w:lang w:val="en-US" w:eastAsia="zh-CN" w:bidi="ar-SA"/>
              </w:rPr>
              <w:id w:val="-1895325911"/>
              <w:placeholder>
                <w:docPart w:val="14DFAF6FE9F448EFAA9AF8ACDA844F9C"/>
              </w:placeholder>
            </w:sdtPr>
            <w:sdtContent>
              <w:r>
                <w:rPr>
                  <w:rFonts w:ascii="仿宋_GB2312" w:eastAsia="仿宋_GB2312" w:cs="仿宋_GB2312" w:hint="eastAsia"/>
                  <w:sz w:val="32"/>
                  <w:szCs w:val="32"/>
                </w:rPr>
                <w:fldChar w:fldCharType="begin"/>
              </w:r>
              <w:r>
                <w:instrText>HYPERLINK  \l "_Toc1245979073_WPSOffice_Level2"</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十二、国有资本经营预算财政拨款支出决算表</w:t>
              </w:r>
            </w:sdtContent>
          </w:sdt>
          <w:r>
            <w:rPr>
              <w:rFonts w:ascii="仿宋_GB2312" w:eastAsia="仿宋_GB2312" w:cs="仿宋_GB2312" w:hint="eastAsia"/>
              <w:sz w:val="32"/>
              <w:szCs w:val="32"/>
            </w:rPr>
            <w:tab/>
          </w:r>
          <w:bookmarkStart w:id="42" w:name="_Toc1245979073_WPSOffice_Level2Page"/>
          <w:r>
            <w:rPr>
              <w:rFonts w:ascii="仿宋_GB2312" w:eastAsia="仿宋_GB2312" w:cs="仿宋_GB2312" w:hint="eastAsia"/>
              <w:sz w:val="32"/>
              <w:szCs w:val="32"/>
            </w:rPr>
            <w:t>29</w:t>
          </w:r>
          <w:r>
            <w:rPr>
              <w:rFonts w:ascii="仿宋_GB2312" w:eastAsia="仿宋_GB2312" w:cs="仿宋_GB2312" w:hint="eastAsia"/>
              <w:sz w:val="32"/>
              <w:szCs w:val="32"/>
            </w:rPr>
            <w:fldChar w:fldCharType="end"/>
          </w:r>
        </w:p>
        <w:p>
          <w:pPr>
            <w:pStyle w:val="37"/>
            <w:tabs>
              <w:tab w:val="right" w:leader="dot" w:pos="8306"/>
            </w:tabs>
          </w:pPr>
          <w:sdt>
            <w:sdtPr>
              <w:rPr>
                <w:rFonts w:ascii="仿宋_GB2312" w:eastAsia="仿宋_GB2312" w:cs="仿宋_GB2312" w:hint="eastAsia"/>
                <w:kern w:val="2"/>
                <w:sz w:val="32"/>
                <w:szCs w:val="32"/>
                <w:lang w:val="en-US" w:eastAsia="zh-CN" w:bidi="ar-SA"/>
              </w:rPr>
              <w:id w:val="1561845938"/>
              <w:placeholder>
                <w:docPart w:val="14DFAF6FE9F448EFAA9AF8ACDA844F9C"/>
              </w:placeholder>
            </w:sdtPr>
            <w:sdtContent>
              <w:r>
                <w:rPr>
                  <w:rFonts w:ascii="仿宋_GB2312" w:eastAsia="仿宋_GB2312" w:cs="仿宋_GB2312" w:hint="eastAsia"/>
                  <w:sz w:val="32"/>
                  <w:szCs w:val="32"/>
                </w:rPr>
                <w:fldChar w:fldCharType="begin"/>
              </w:r>
              <w:r>
                <w:instrText>HYPERLINK  \l "_Toc2081895648_WPSOffice_Level2"</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十三、财政拨款“三公”经费支出决算表</w:t>
              </w:r>
            </w:sdtContent>
          </w:sdt>
          <w:r>
            <w:rPr>
              <w:rFonts w:ascii="仿宋_GB2312" w:eastAsia="仿宋_GB2312" w:cs="仿宋_GB2312" w:hint="eastAsia"/>
              <w:sz w:val="32"/>
              <w:szCs w:val="32"/>
            </w:rPr>
            <w:tab/>
          </w:r>
          <w:bookmarkStart w:id="43" w:name="_Toc2081895648_WPSOffice_Level2Page"/>
          <w:r>
            <w:rPr>
              <w:rFonts w:ascii="仿宋_GB2312" w:eastAsia="仿宋_GB2312" w:cs="仿宋_GB2312" w:hint="eastAsia"/>
              <w:sz w:val="32"/>
              <w:szCs w:val="32"/>
            </w:rPr>
            <w:t>29</w:t>
          </w:r>
          <w:r>
            <w:rPr>
              <w:rFonts w:ascii="仿宋_GB2312" w:eastAsia="仿宋_GB2312" w:cs="仿宋_GB2312" w:hint="eastAsia"/>
              <w:sz w:val="32"/>
              <w:szCs w:val="32"/>
            </w:rPr>
            <w:fldChar w:fldCharType="end"/>
          </w:r>
        </w:p>
        <w:bookmarkEnd w:id="13" w:displacedByCustomXml="next"/>
        <w:bookmarkEnd w:id="43" w:displacedByCustomXml="next"/>
      </w:sdtContent>
    </w:sdt>
    <w:p>
      <w:pPr>
        <w:pStyle w:val="24"/>
        <w:tabs>
          <w:tab w:val="right" w:leader="dot" w:pos="8296"/>
        </w:tabs>
        <w:adjustRightInd w:val="0"/>
        <w:snapToGrid w:val="0"/>
        <w:spacing w:line="560" w:lineRule="exact"/>
        <w:ind w:leftChars="0" w:left="0" w:firstLineChars="200" w:firstLine="640"/>
        <w:jc w:val="left"/>
        <w:rPr>
          <w:rFonts w:ascii="Times New Roman" w:eastAsia="仿宋_GB2312" w:cs="Times New Roman" w:hAnsi="Times New Roman"/>
          <w:sz w:val="32"/>
          <w:szCs w:val="32"/>
        </w:rPr>
        <w:sectPr>
          <w:footerReference w:type="default" r:id="rId6"/>
          <w:pgSz w:w="11906" w:h="16838"/>
          <w:pgMar w:top="1440" w:right="1800" w:bottom="1440" w:left="1800" w:header="851" w:footer="992" w:gutter="0"/>
          <w:pgNumType w:start="1"/>
          <w:docGrid w:type="lines" w:linePitch="312" w:charSpace="0"/>
        </w:sectPr>
      </w:pPr>
    </w:p>
    <w:p>
      <w:pPr>
        <w:pStyle w:val="1"/>
        <w:jc w:val="center"/>
        <w:rPr>
          <w:rStyle w:val="1Char"/>
          <w:rFonts w:ascii="Times New Roman" w:eastAsia="方正小标宋简体" w:cs="Times New Roman" w:hAnsi="Times New Roman"/>
          <w:b/>
          <w:bCs w:val="0"/>
        </w:rPr>
      </w:pPr>
      <w:bookmarkStart w:id="44" w:name="_Toc15396599"/>
      <w:bookmarkStart w:id="45" w:name="_Toc15377196"/>
      <w:bookmarkStart w:id="46" w:name="_Toc1352871000_WPSOffice_Level1"/>
      <w:r>
        <w:rPr>
          <w:rFonts w:ascii="Times New Roman" w:eastAsia="方正小标宋简体" w:cs="Times New Roman" w:hAnsi="Times New Roman"/>
          <w:b w:val="0"/>
        </w:rPr>
        <w:t xml:space="preserve">第一部分  </w:t>
      </w:r>
      <w:r>
        <w:rPr>
          <w:rStyle w:val="1Char"/>
          <w:rFonts w:ascii="Times New Roman" w:eastAsia="方正小标宋简体" w:cs="Times New Roman" w:hAnsi="Times New Roman"/>
          <w:b w:val="0"/>
          <w:bCs w:val="0"/>
        </w:rPr>
        <w:t>部门概况</w:t>
      </w:r>
      <w:bookmarkEnd w:id="44"/>
      <w:bookmarkEnd w:id="45"/>
      <w:bookmarkEnd w:id="46"/>
    </w:p>
    <w:p>
      <w:pPr>
        <w:widowControl/>
        <w:jc w:val="left"/>
        <w:rPr>
          <w:rFonts w:ascii="Times New Roman" w:eastAsia="黑体" w:cs="Times New Roman" w:hAnsi="Times New Roman"/>
          <w:sz w:val="32"/>
          <w:szCs w:val="32"/>
        </w:rPr>
      </w:pPr>
    </w:p>
    <w:p>
      <w:pPr>
        <w:pStyle w:val="2"/>
        <w:rPr>
          <w:rFonts w:ascii="Times New Roman" w:eastAsia="黑体" w:cs="Times New Roman" w:hAnsi="Times New Roman"/>
          <w:b w:val="0"/>
        </w:rPr>
      </w:pPr>
      <w:bookmarkStart w:id="47" w:name="_Toc15396600"/>
      <w:bookmarkStart w:id="48" w:name="_Toc15377197"/>
      <w:bookmarkStart w:id="49" w:name="_Toc274607203_WPSOffice_Level2"/>
      <w:r>
        <w:rPr>
          <w:rFonts w:ascii="Times New Roman" w:eastAsia="黑体" w:cs="Times New Roman" w:hAnsi="Times New Roman"/>
          <w:b w:val="0"/>
        </w:rPr>
        <w:t>一、</w:t>
      </w:r>
      <w:bookmarkEnd w:id="47"/>
      <w:bookmarkEnd w:id="48"/>
      <w:r>
        <w:rPr>
          <w:rFonts w:ascii="Times New Roman" w:eastAsia="黑体" w:cs="Times New Roman" w:hAnsi="Times New Roman"/>
          <w:b w:val="0"/>
        </w:rPr>
        <w:t>部门职责</w:t>
      </w:r>
      <w:bookmarkEnd w:id="49"/>
    </w:p>
    <w:p>
      <w:pPr>
        <w:ind w:firstLineChars="200" w:firstLine="640"/>
        <w:rPr>
          <w:rFonts w:ascii="Times New Roman" w:cs="Times New Roman" w:hAnsi="Times New Roman"/>
        </w:rPr>
      </w:pPr>
      <w:r>
        <w:rPr>
          <w:rFonts w:ascii="Times New Roman" w:eastAsia="仿宋_GB2312" w:cs="Times New Roman" w:hAnsi="Times New Roman"/>
          <w:color w:val="000000"/>
          <w:sz w:val="32"/>
          <w:szCs w:val="32"/>
        </w:rPr>
        <w:t>攀枝花市司法局系纳入公务员编制的机关法人。地址：攀枝花市东区佳联路</w:t>
      </w:r>
      <w:r>
        <w:rPr>
          <w:rFonts w:ascii="Times New Roman" w:cs="Times New Roman" w:hAnsi="Times New Roman"/>
          <w:color w:val="000000"/>
          <w:sz w:val="32"/>
          <w:szCs w:val="32"/>
        </w:rPr>
        <w:t>5</w:t>
      </w:r>
      <w:r>
        <w:rPr>
          <w:rFonts w:ascii="Times New Roman" w:eastAsia="仿宋_GB2312" w:cs="Times New Roman" w:hAnsi="Times New Roman"/>
          <w:color w:val="000000"/>
          <w:sz w:val="32"/>
          <w:szCs w:val="32"/>
        </w:rPr>
        <w:t>号。法定代表人：卢建军。主要职责包括：承担全面依法治国、依法治省、依法治市重大问题的政策研究，协调有关方面提出全面依法治市规划建议，负责有关重大决策部署督察工作。承担统筹规划立法工作的责任。协调有关方面提出立法规划和年度立法工作计划的建议，负责跟踪了解各部门对立法工作计划的落实情况，加强组织协调和督促指导，研究提出立法与改革决策相衔接的意见、措施。负责面向社会征集地方性法规、规章制定项目建议。负责起草或者组织起草地方性法规、市政府规章起草案。负责市政府有关部门报送市政府的地方性法规、规章草案的审查工作。负责立法协调。承担市政府规章的解释、立法后评估工作。负责协调各县（区）、各部门实施法律、法规、规章中的有关争议和问题。承办市政府规章的清理、编纂、翻译工作、承办市政府规章报送备案工作。负责市政府规范性文件、重大行政决策发布前的合法性审查。承办市政府规范性文件的报送备案工作。负责各县（区）政府和市政府各部门规范性文件报送市政府的备案审查工作。组织开展规范性文件清理。承担统筹推进法治政府建设的责任。指导监督市政府各部门、市以下各级政府依法行政工作。负责综合协调、监督检查行政执法，承担推进行政执法体制改革有关工作，推进严格规范公正文明执法。指导监督全市行政复议、行政应诉和行政赔偿工作，承办向市政府申请的行政复议、行政赔偿案件，代理市政府行政应诉案件。承担统筹规划法治社会建设的责任。负责拟定法治宣传教育规划，组织实施普法宣传工作，组织对外法治宣传。推动人民参与和促进法治建设。指导依法治理和法治创建工作。指导调解工作。负责并指导人民监督员的选任管理工作。指导人民陪审员选任工作。指导监督司法所建设和管理工作。负责职责范围内的安全生产工作。指导管理全市社区矫正工作。指导刑满释放人员帮教安置工作。负责全市司法行政戒毒管理工作。指导市强制隔离戒毒所党的建设、党风廉政建设和领导班子建设。指导监督市强制隔离戒毒所强制隔离戒毒执行和戒毒康复工作。对社区戒毒和社区康复工作提供支持和协助。负责拟定全市公共法律服务体系建设规划并指导实施，统筹和布局全市城乡、区域法律服务资源。指导监督律师、法律援助、司法鉴定、公证、仲裁和基层法律服务管理工作。负责全市国家统一法律职业资格考试的组织实施工作。负责全市国家统一法律职业资格管理工作。负责组织和实施法律职业人员入职前培训工作。负责监督管理本系统枪支、弹药、服装和警车等警用物资装备。指导监督本系统财务、装备、设施、场所等保障工作。指导监督所属事业单位的计划财务工作。负责所属事业单位内部审计工作。规划、协调、指导法治人才队伍建设相关工作，指导监督本系统队伍建设。负责本系统人民警察警务管理和警务督察工作。协调县（区）管理司法局领导干部。负责并指导本系统行政审批工作。负责全市外来企业投诉处理和民营企业法律服务工作。完成市委、市政府交办的其他任务。</w:t>
      </w:r>
    </w:p>
    <w:p>
      <w:pPr>
        <w:rPr>
          <w:rFonts w:ascii="Times New Roman" w:cs="Times New Roman" w:hAnsi="Times New Roman"/>
        </w:rPr>
      </w:pPr>
    </w:p>
    <w:p>
      <w:pPr>
        <w:pStyle w:val="2"/>
        <w:rPr>
          <w:rStyle w:val="2Char"/>
          <w:rFonts w:ascii="Times New Roman" w:cs="Times New Roman" w:hAnsi="Times New Roman"/>
          <w:b w:val="0"/>
          <w:bCs w:val="0"/>
        </w:rPr>
      </w:pPr>
      <w:bookmarkStart w:id="50" w:name="_Toc15377200"/>
      <w:bookmarkStart w:id="51" w:name="_Toc15396601"/>
      <w:bookmarkStart w:id="52" w:name="_Toc1123705102_WPSOffice_Level2"/>
      <w:r>
        <w:rPr>
          <w:rFonts w:ascii="Times New Roman" w:eastAsia="黑体" w:cs="Times New Roman" w:hAnsi="Times New Roman"/>
          <w:b w:val="0"/>
        </w:rPr>
        <w:t>二、机</w:t>
      </w:r>
      <w:r>
        <w:rPr>
          <w:rStyle w:val="2Char"/>
          <w:rFonts w:ascii="Times New Roman" w:eastAsia="黑体" w:cs="Times New Roman" w:hAnsi="Times New Roman"/>
          <w:b w:val="0"/>
          <w:bCs w:val="0"/>
        </w:rPr>
        <w:t>构设置</w:t>
      </w:r>
      <w:bookmarkEnd w:id="50"/>
      <w:bookmarkEnd w:id="51"/>
      <w:bookmarkEnd w:id="52"/>
    </w:p>
    <w:p>
      <w:pPr>
        <w:ind w:firstLineChars="200" w:firstLine="640"/>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攀枝花市司法局直属二级单位3个，其中行政单位0个，参照公务员法管理的事业单位2个，其他事业单位1个。</w:t>
      </w:r>
    </w:p>
    <w:p>
      <w:pPr>
        <w:pStyle w:val="16"/>
        <w:adjustRightInd w:val="0"/>
        <w:snapToGrid w:val="0"/>
        <w:spacing w:beforeLines="0" w:before="93" w:line="600" w:lineRule="exact"/>
        <w:ind w:firstLineChars="200" w:firstLine="640"/>
        <w:outlineLvl w:val="2"/>
        <w:rPr>
          <w:rFonts w:ascii="Times New Roman" w:eastAsia="仿宋_GB2312" w:cs="Times New Roman" w:hAnsi="Times New Roman"/>
          <w:color w:val="000000"/>
          <w:sz w:val="32"/>
          <w:szCs w:val="32"/>
        </w:rPr>
      </w:pPr>
      <w:bookmarkStart w:id="53" w:name="_Toc176939595"/>
      <w:r>
        <w:rPr>
          <w:rFonts w:ascii="Times New Roman" w:eastAsia="仿宋_GB2312" w:cs="Times New Roman" w:hAnsi="Times New Roman"/>
          <w:color w:val="000000"/>
          <w:sz w:val="32"/>
          <w:szCs w:val="32"/>
        </w:rPr>
        <w:t>攀枝花仲裁委员会秘书处，攀枝花市法律援助中心，四川省攀枝花市攀枝花公证处，全部纳入攀枝花市司法局202</w:t>
      </w:r>
      <w:r>
        <w:rPr>
          <w:rFonts w:ascii="Times New Roman" w:eastAsia="仿宋_GB2312" w:cs="Times New Roman" w:hAnsi="Times New Roman"/>
          <w:color w:val="000000"/>
          <w:sz w:val="32"/>
          <w:szCs w:val="32"/>
          <w:lang w:val="en-US" w:eastAsia="zh-CN"/>
        </w:rPr>
        <w:t>4</w:t>
      </w:r>
      <w:r>
        <w:rPr>
          <w:rFonts w:ascii="Times New Roman" w:eastAsia="仿宋_GB2312" w:cs="Times New Roman" w:hAnsi="Times New Roman"/>
          <w:color w:val="000000"/>
          <w:sz w:val="32"/>
          <w:szCs w:val="32"/>
        </w:rPr>
        <w:t>年度部门决算编制范围，无独立核算的二级预算单位。</w:t>
      </w:r>
      <w:bookmarkEnd w:id="53"/>
    </w:p>
    <w:p>
      <w:pPr>
        <w:widowControl/>
        <w:jc w:val="left"/>
        <w:rPr>
          <w:rFonts w:ascii="Times New Roman" w:eastAsia="仿宋" w:cs="Times New Roman" w:hAnsi="Times New Roman"/>
          <w:kern w:val="0"/>
          <w:sz w:val="32"/>
          <w:szCs w:val="32"/>
        </w:rPr>
      </w:pPr>
      <w:r>
        <w:rPr>
          <w:rFonts w:ascii="Times New Roman" w:eastAsia="仿宋" w:cs="Times New Roman" w:hAnsi="Times New Roman"/>
          <w:sz w:val="32"/>
          <w:szCs w:val="32"/>
        </w:rPr>
        <w:br w:type="page"/>
      </w:r>
    </w:p>
    <w:p>
      <w:pPr>
        <w:pStyle w:val="1"/>
        <w:jc w:val="center"/>
        <w:rPr>
          <w:rFonts w:ascii="Times New Roman" w:eastAsia="方正小标宋简体" w:cs="Times New Roman" w:hAnsi="Times New Roman"/>
          <w:b w:val="0"/>
        </w:rPr>
      </w:pPr>
      <w:bookmarkStart w:id="54" w:name="_Toc15396602"/>
      <w:bookmarkStart w:id="55" w:name="_Toc274607203_WPSOffice_Level1"/>
      <w:bookmarkStart w:id="56" w:name="_Toc15377204"/>
      <w:r>
        <w:rPr>
          <w:rFonts w:ascii="Times New Roman" w:eastAsia="方正小标宋简体" w:cs="Times New Roman" w:hAnsi="Times New Roman"/>
          <w:b w:val="0"/>
        </w:rPr>
        <w:t>第二部分  2025年度部门决算情况说明</w:t>
      </w:r>
      <w:bookmarkEnd w:id="54"/>
      <w:bookmarkEnd w:id="55"/>
      <w:bookmarkEnd w:id="56"/>
    </w:p>
    <w:p>
      <w:pPr>
        <w:rPr>
          <w:rFonts w:ascii="Times New Roman" w:cs="Times New Roman" w:hAnsi="Times New Roman"/>
        </w:rPr>
      </w:pPr>
    </w:p>
    <w:p>
      <w:pPr>
        <w:pStyle w:val="32"/>
        <w:spacing w:line="600" w:lineRule="exact"/>
        <w:outlineLvl w:val="1"/>
        <w:rPr>
          <w:rStyle w:val="2Char"/>
          <w:rFonts w:ascii="Times New Roman" w:eastAsia="黑体" w:cs="Times New Roman" w:hAnsi="Times New Roman"/>
          <w:b w:val="0"/>
        </w:rPr>
      </w:pPr>
      <w:bookmarkStart w:id="57" w:name="_Toc15396603"/>
      <w:bookmarkStart w:id="58" w:name="_Toc15377205"/>
      <w:bookmarkStart w:id="59" w:name="_Toc1154886502_WPSOffice_Level2"/>
      <w:r>
        <w:rPr>
          <w:rFonts w:ascii="Times New Roman" w:eastAsia="黑体" w:cs="Times New Roman" w:hAnsi="Times New Roman"/>
          <w:sz w:val="32"/>
          <w:szCs w:val="32"/>
        </w:rPr>
        <w:t>一、收</w:t>
      </w:r>
      <w:r>
        <w:rPr>
          <w:rStyle w:val="2Char"/>
          <w:rFonts w:ascii="Times New Roman" w:eastAsia="黑体" w:cs="Times New Roman" w:hAnsi="Times New Roman"/>
          <w:b w:val="0"/>
        </w:rPr>
        <w:t>入支出决算总体情况说明</w:t>
      </w:r>
      <w:bookmarkEnd w:id="57"/>
      <w:bookmarkEnd w:id="58"/>
      <w:bookmarkEnd w:id="59"/>
    </w:p>
    <w:p>
      <w:pPr>
        <w:pStyle w:val="32"/>
        <w:spacing w:line="600" w:lineRule="exact"/>
        <w:outlineLvl w:val="1"/>
        <w:rPr>
          <w:rFonts w:ascii="Times New Roman" w:eastAsia="仿宋" w:cs="Times New Roman" w:hAnsi="Times New Roman"/>
          <w:sz w:val="32"/>
          <w:szCs w:val="32"/>
          <w:lang w:eastAsia="zh-CN"/>
        </w:rPr>
      </w:pPr>
      <w:r>
        <w:rPr>
          <w:rFonts w:ascii="Times New Roman" w:eastAsia="仿宋_GB2312" w:cs="Times New Roman" w:hAnsi="Times New Roman"/>
          <w:sz w:val="32"/>
          <w:szCs w:val="32"/>
        </w:rPr>
        <w:t>2025年度收入、支出总计均为</w:t>
      </w:r>
      <w:r>
        <w:rPr>
          <w:rFonts w:ascii="Times New Roman" w:eastAsia="仿宋_GB2312" w:cs="Times New Roman" w:hAnsi="Times New Roman"/>
          <w:sz w:val="32"/>
          <w:szCs w:val="32"/>
          <w:lang w:val="en-US" w:eastAsia="zh-CN"/>
        </w:rPr>
        <w:t>2333.99</w:t>
      </w:r>
      <w:r>
        <w:rPr>
          <w:rFonts w:ascii="Times New Roman" w:eastAsia="仿宋_GB2312" w:cs="Times New Roman" w:hAnsi="Times New Roman"/>
          <w:sz w:val="32"/>
          <w:szCs w:val="32"/>
        </w:rPr>
        <w:t>万元。与上年度相比，收入、支出总计各增加</w:t>
      </w:r>
      <w:r>
        <w:rPr>
          <w:rFonts w:ascii="Times New Roman" w:eastAsia="仿宋_GB2312" w:cs="Times New Roman" w:hAnsi="Times New Roman"/>
          <w:sz w:val="32"/>
          <w:szCs w:val="32"/>
          <w:lang w:val="en-US" w:eastAsia="zh-CN"/>
        </w:rPr>
        <w:t>9.39</w:t>
      </w:r>
      <w:r>
        <w:rPr>
          <w:rFonts w:ascii="Times New Roman" w:eastAsia="仿宋_GB2312" w:cs="Times New Roman" w:hAnsi="Times New Roman"/>
          <w:sz w:val="32"/>
          <w:szCs w:val="32"/>
        </w:rPr>
        <w:t>万元，增长</w:t>
      </w:r>
      <w:r>
        <w:rPr>
          <w:rFonts w:ascii="Times New Roman" w:eastAsia="仿宋_GB2312" w:cs="Times New Roman" w:hAnsi="Times New Roman"/>
          <w:sz w:val="32"/>
          <w:szCs w:val="32"/>
          <w:lang w:val="en-US" w:eastAsia="zh-CN"/>
        </w:rPr>
        <w:t>0.4</w:t>
      </w:r>
      <w:r>
        <w:rPr>
          <w:rFonts w:ascii="Times New Roman" w:eastAsia="仿宋_GB2312" w:cs="Times New Roman" w:hAnsi="Times New Roman"/>
          <w:sz w:val="32"/>
          <w:szCs w:val="32"/>
        </w:rPr>
        <w:t>%。主要变动原因是</w:t>
      </w:r>
      <w:r>
        <w:rPr>
          <w:rFonts w:ascii="Times New Roman" w:eastAsia="仿宋" w:cs="Times New Roman" w:hAnsi="Times New Roman"/>
          <w:sz w:val="32"/>
          <w:szCs w:val="32"/>
        </w:rPr>
        <w:t>一般公共预算财政拨款</w:t>
      </w:r>
      <w:r>
        <w:rPr>
          <w:rFonts w:ascii="Times New Roman" w:eastAsia="仿宋" w:cs="Times New Roman" w:hAnsi="Times New Roman"/>
          <w:sz w:val="32"/>
          <w:szCs w:val="32"/>
          <w:lang w:eastAsia="zh-CN"/>
        </w:rPr>
        <w:t>增加。</w:t>
      </w:r>
    </w:p>
    <w:p>
      <w:pPr>
        <w:ind w:firstLineChars="200" w:firstLine="640"/>
        <w:rPr>
          <w:rFonts w:ascii="Times New Roman" w:eastAsia="仿宋_GB2312" w:cs="Times New Roman" w:hAnsi="Times New Roman"/>
          <w:sz w:val="32"/>
          <w:szCs w:val="32"/>
        </w:rPr>
      </w:pPr>
      <w:r>
        <w:rPr>
          <w:rFonts w:ascii="Times New Roman" w:eastAsia="仿宋" w:cs="Times New Roman" w:hAnsi="Times New Roman"/>
          <w:sz w:val="32"/>
          <w:szCs w:val="32"/>
        </w:rPr>
        <w:object>
          <v:shapetype id="_x0000_t75" coordsize="21600,2160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type="#_x0000_t75" filled="f" stroked="f" alt="olechartimg_1788145403259446_291735552" style="width:332.5pt;height:197.55pt;" o:ole="">
            <v:stroke color="#000000"/>
            <v:imagedata r:id="rId8" o:title="image1"/>
            <o:lock aspectratio="t"/>
            <w10:anchorLock/>
          </v:shape>
          <o:OLEObject Type="Embed" ProgID="Package" ShapeID="_x0000_i1" DrawAspect="Content" ObjectID="_1393063351" r:id="rId9"/>
        </w:object>
      </w:r>
    </w:p>
    <w:p>
      <w:pPr>
        <w:pStyle w:val="32"/>
        <w:spacing w:line="600" w:lineRule="exact"/>
        <w:outlineLvl w:val="1"/>
        <w:rPr>
          <w:rFonts w:ascii="Times New Roman" w:eastAsia="仿宋_GB2312" w:cs="Times New Roman" w:hAnsi="Times New Roman"/>
          <w:sz w:val="32"/>
          <w:szCs w:val="32"/>
        </w:rPr>
      </w:pPr>
      <w:r>
        <w:rPr>
          <w:rFonts w:ascii="Times New Roman" w:eastAsia="仿宋_GB2312" w:cs="Times New Roman" w:hAnsi="Times New Roman"/>
          <w:sz w:val="32"/>
          <w:szCs w:val="32"/>
        </w:rPr>
        <w:t>（图1：收入、支出决算总计变动情况图）（柱状图）</w:t>
      </w:r>
    </w:p>
    <w:p>
      <w:pPr>
        <w:pStyle w:val="32"/>
        <w:spacing w:line="600" w:lineRule="exact"/>
        <w:outlineLvl w:val="1"/>
        <w:rPr>
          <w:rFonts w:ascii="Times New Roman" w:eastAsia="黑体" w:cs="Times New Roman" w:hAnsi="Times New Roman"/>
          <w:sz w:val="32"/>
          <w:szCs w:val="32"/>
        </w:rPr>
      </w:pPr>
      <w:bookmarkStart w:id="60" w:name="_Toc15396604"/>
      <w:bookmarkStart w:id="61" w:name="_Toc15377206"/>
    </w:p>
    <w:p>
      <w:pPr>
        <w:pStyle w:val="32"/>
        <w:spacing w:line="600" w:lineRule="exact"/>
        <w:outlineLvl w:val="1"/>
        <w:rPr>
          <w:rFonts w:ascii="Times New Roman" w:eastAsia="黑体" w:cs="Times New Roman" w:hAnsi="Times New Roman"/>
          <w:sz w:val="32"/>
          <w:szCs w:val="32"/>
        </w:rPr>
      </w:pPr>
      <w:bookmarkStart w:id="62" w:name="_Toc1308185382_WPSOffice_Level2"/>
      <w:r>
        <w:rPr>
          <w:rFonts w:ascii="Times New Roman" w:eastAsia="黑体" w:cs="Times New Roman" w:hAnsi="Times New Roman"/>
          <w:sz w:val="32"/>
          <w:szCs w:val="32"/>
        </w:rPr>
        <w:t>二、收入决算情况说明</w:t>
      </w:r>
      <w:bookmarkEnd w:id="60"/>
      <w:bookmarkEnd w:id="61"/>
      <w:bookmarkEnd w:id="62"/>
    </w:p>
    <w:p>
      <w:pPr>
        <w:pStyle w:val="32"/>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outlineLvl w:val="1"/>
        <w:rPr>
          <w:rFonts w:ascii="Times New Roman" w:eastAsia="仿宋_GB2312" w:cs="Times New Roman" w:hAnsi="Times New Roman"/>
          <w:b/>
          <w:bCs/>
          <w:color w:val="auto"/>
          <w:sz w:val="32"/>
          <w:szCs w:val="32"/>
          <w:lang w:eastAsia="zh-CN"/>
          <w:highlight w:val="auto"/>
        </w:rPr>
      </w:pPr>
      <w:r>
        <w:rPr>
          <w:rFonts w:ascii="Times New Roman" w:eastAsia="仿宋_GB2312" w:cs="Times New Roman" w:hAnsi="Times New Roman"/>
          <w:color w:val="auto"/>
          <w:sz w:val="32"/>
          <w:szCs w:val="32"/>
          <w:lang w:eastAsia="zh-CN"/>
          <w:highlight w:val="auto"/>
        </w:rPr>
        <w:t>2025年度本年收入合计</w:t>
      </w:r>
      <w:r>
        <w:rPr>
          <w:rFonts w:ascii="Times New Roman" w:eastAsia="仿宋_GB2312" w:cs="Times New Roman" w:hAnsi="Times New Roman"/>
          <w:sz w:val="32"/>
          <w:szCs w:val="32"/>
        </w:rPr>
        <w:t>2288.97</w:t>
      </w:r>
      <w:r>
        <w:rPr>
          <w:rFonts w:ascii="Times New Roman" w:eastAsia="仿宋_GB2312" w:cs="Times New Roman" w:hAnsi="Times New Roman"/>
          <w:color w:val="auto"/>
          <w:sz w:val="32"/>
          <w:szCs w:val="32"/>
          <w:lang w:eastAsia="zh-CN"/>
          <w:highlight w:val="auto"/>
        </w:rPr>
        <w:t>万元，其中：一般公共预算财政拨款收入</w:t>
      </w:r>
      <w:r>
        <w:rPr>
          <w:rFonts w:ascii="Times New Roman" w:eastAsia="仿宋_GB2312" w:cs="Times New Roman" w:hAnsi="Times New Roman"/>
          <w:sz w:val="32"/>
          <w:szCs w:val="32"/>
        </w:rPr>
        <w:t>2249.58</w:t>
      </w:r>
      <w:r>
        <w:rPr>
          <w:rFonts w:ascii="Times New Roman" w:eastAsia="仿宋_GB2312" w:cs="Times New Roman" w:hAnsi="Times New Roman"/>
          <w:color w:val="auto"/>
          <w:sz w:val="32"/>
          <w:szCs w:val="32"/>
          <w:lang w:eastAsia="zh-CN"/>
          <w:highlight w:val="auto"/>
        </w:rPr>
        <w:t>万元，占</w:t>
      </w:r>
      <w:r>
        <w:rPr>
          <w:rFonts w:ascii="Times New Roman" w:eastAsia="仿宋_GB2312" w:cs="Times New Roman" w:hAnsi="Times New Roman"/>
          <w:sz w:val="32"/>
          <w:szCs w:val="32"/>
        </w:rPr>
        <w:t>98.27</w:t>
      </w:r>
      <w:r>
        <w:rPr>
          <w:rFonts w:ascii="Times New Roman" w:eastAsia="仿宋_GB2312" w:cs="Times New Roman" w:hAnsi="Times New Roman"/>
          <w:color w:val="auto"/>
          <w:sz w:val="32"/>
          <w:szCs w:val="32"/>
          <w:lang w:eastAsia="zh-CN"/>
          <w:highlight w:val="auto"/>
        </w:rPr>
        <w:t>%；其他收入</w:t>
      </w:r>
      <w:r>
        <w:rPr>
          <w:rFonts w:ascii="Times New Roman" w:eastAsia="仿宋_GB2312" w:cs="Times New Roman" w:hAnsi="Times New Roman"/>
          <w:sz w:val="32"/>
          <w:szCs w:val="32"/>
        </w:rPr>
        <w:t>39.39</w:t>
      </w:r>
      <w:r>
        <w:rPr>
          <w:rFonts w:ascii="Times New Roman" w:eastAsia="仿宋_GB2312" w:cs="Times New Roman" w:hAnsi="Times New Roman"/>
          <w:color w:val="auto"/>
          <w:sz w:val="32"/>
          <w:szCs w:val="32"/>
          <w:lang w:eastAsia="zh-CN"/>
          <w:highlight w:val="auto"/>
        </w:rPr>
        <w:t>万元，占</w:t>
      </w:r>
      <w:r>
        <w:rPr>
          <w:rFonts w:ascii="Times New Roman" w:eastAsia="仿宋_GB2312" w:cs="Times New Roman" w:hAnsi="Times New Roman"/>
          <w:sz w:val="32"/>
          <w:szCs w:val="32"/>
        </w:rPr>
        <w:t>1.72</w:t>
      </w:r>
      <w:r>
        <w:rPr>
          <w:rFonts w:ascii="Times New Roman" w:eastAsia="仿宋_GB2312" w:cs="Times New Roman" w:hAnsi="Times New Roman"/>
          <w:color w:val="auto"/>
          <w:sz w:val="32"/>
          <w:szCs w:val="32"/>
          <w:lang w:eastAsia="zh-CN"/>
          <w:highlight w:val="auto"/>
        </w:rPr>
        <w:t>%。</w:t>
      </w:r>
    </w:p>
    <w:p>
      <w:pPr>
        <w:pStyle w:val="32"/>
        <w:spacing w:line="600" w:lineRule="exact"/>
        <w:outlineLvl w:val="1"/>
        <w:rPr>
          <w:rFonts w:ascii="Times New Roman" w:eastAsia="仿宋_GB2312" w:cs="Times New Roman" w:hAnsi="Times New Roman"/>
          <w:sz w:val="32"/>
          <w:szCs w:val="32"/>
        </w:rPr>
      </w:pPr>
    </w:p>
    <w:p>
      <w:pPr>
        <w:ind w:firstLineChars="250" w:firstLine="525"/>
        <w:rPr>
          <w:rFonts w:ascii="Times New Roman" w:eastAsia="仿宋_GB2312" w:cs="Times New Roman" w:hAnsi="Times New Roman"/>
          <w:sz w:val="32"/>
          <w:szCs w:val="32"/>
        </w:rPr>
      </w:pPr>
      <w:r>
        <w:rPr>
          <w:rFonts w:ascii="Times New Roman" w:eastAsia="宋体" w:cs="Times New Roman" w:hAnsi="Times New Roman"/>
          <w:lang w:eastAsia="zh-CN"/>
        </w:rPr>
        <w:object>
          <v:shape id="_x0000_i2" type="#_x0000_t75" filled="f" stroked="f" alt="olechartimg_1788145728295893_502702080" style="width:334.4pt;height:210.1pt;" o:ole="">
            <v:stroke color="#000000"/>
            <v:imagedata r:id="rId10" o:title="image2"/>
            <o:lock aspectratio="t"/>
            <w10:anchorLock/>
          </v:shape>
          <o:OLEObject Type="Embed" ProgID="Package" ShapeID="_x0000_i2" DrawAspect="Content" ObjectID="_1393063352" r:id="rId11"/>
        </w:object>
      </w:r>
    </w:p>
    <w:p>
      <w:pPr>
        <w:pStyle w:val="23"/>
        <w:jc w:val="center"/>
        <w:rPr>
          <w:rFonts w:ascii="Times New Roman" w:eastAsia="仿宋_GB2312" w:cs="Times New Roman" w:hAnsi="Times New Roman"/>
          <w:sz w:val="32"/>
          <w:szCs w:val="32"/>
        </w:rPr>
      </w:pPr>
      <w:r>
        <w:rPr>
          <w:rFonts w:ascii="Times New Roman" w:eastAsia="仿宋_GB2312" w:cs="Times New Roman" w:hAnsi="Times New Roman"/>
          <w:sz w:val="32"/>
          <w:szCs w:val="32"/>
        </w:rPr>
        <w:t>（图2：收入决算结构图）（饼状图）</w:t>
      </w:r>
    </w:p>
    <w:p>
      <w:pPr>
        <w:pStyle w:val="32"/>
        <w:spacing w:line="600" w:lineRule="exact"/>
        <w:outlineLvl w:val="1"/>
        <w:rPr>
          <w:rFonts w:ascii="Times New Roman" w:eastAsia="黑体" w:cs="Times New Roman" w:hAnsi="Times New Roman"/>
          <w:sz w:val="32"/>
          <w:szCs w:val="32"/>
        </w:rPr>
      </w:pPr>
      <w:bookmarkStart w:id="63" w:name="_Toc15396605"/>
      <w:bookmarkStart w:id="64" w:name="_Toc15377207"/>
    </w:p>
    <w:p>
      <w:pPr>
        <w:pStyle w:val="32"/>
        <w:spacing w:line="600" w:lineRule="exact"/>
        <w:outlineLvl w:val="1"/>
        <w:rPr>
          <w:rStyle w:val="2Char"/>
          <w:rFonts w:ascii="Times New Roman" w:eastAsia="黑体" w:cs="Times New Roman" w:hAnsi="Times New Roman"/>
          <w:b w:val="0"/>
        </w:rPr>
      </w:pPr>
      <w:bookmarkStart w:id="65" w:name="_Toc437745904_WPSOffice_Level2"/>
      <w:r>
        <w:rPr>
          <w:rFonts w:ascii="Times New Roman" w:eastAsia="黑体" w:cs="Times New Roman" w:hAnsi="Times New Roman"/>
          <w:sz w:val="32"/>
          <w:szCs w:val="32"/>
        </w:rPr>
        <w:t>三、支</w:t>
      </w:r>
      <w:r>
        <w:rPr>
          <w:rStyle w:val="2Char"/>
          <w:rFonts w:ascii="Times New Roman" w:eastAsia="黑体" w:cs="Times New Roman" w:hAnsi="Times New Roman"/>
          <w:b w:val="0"/>
        </w:rPr>
        <w:t>出决算情况说明</w:t>
      </w:r>
      <w:bookmarkEnd w:id="63"/>
      <w:bookmarkEnd w:id="64"/>
      <w:bookmarkEnd w:id="65"/>
    </w:p>
    <w:p>
      <w:pPr>
        <w:pStyle w:val="32"/>
        <w:spacing w:line="600" w:lineRule="exact"/>
        <w:outlineLvl w:val="1"/>
        <w:rPr>
          <w:rFonts w:ascii="Times New Roman" w:eastAsia="仿宋_GB2312" w:cs="Times New Roman" w:hAnsi="Times New Roman"/>
          <w:color w:val="auto"/>
          <w:sz w:val="32"/>
          <w:szCs w:val="32"/>
          <w:lang w:eastAsia="zh-CN"/>
          <w:highlight w:val="auto"/>
        </w:rPr>
      </w:pPr>
      <w:r>
        <w:rPr>
          <w:rFonts w:ascii="Times New Roman" w:eastAsia="仿宋_GB2312" w:cs="Times New Roman" w:hAnsi="Times New Roman"/>
          <w:color w:val="auto"/>
          <w:sz w:val="32"/>
          <w:szCs w:val="32"/>
          <w:lang w:eastAsia="zh-CN"/>
          <w:highlight w:val="auto"/>
        </w:rPr>
        <w:t>2025年度本年支出合计</w:t>
      </w:r>
      <w:r>
        <w:rPr>
          <w:rFonts w:ascii="Times New Roman" w:eastAsia="仿宋_GB2312" w:cs="Times New Roman" w:hAnsi="Times New Roman"/>
          <w:sz w:val="32"/>
          <w:szCs w:val="32"/>
        </w:rPr>
        <w:t>2274.62</w:t>
      </w:r>
      <w:r>
        <w:rPr>
          <w:rFonts w:ascii="Times New Roman" w:eastAsia="仿宋_GB2312" w:cs="Times New Roman" w:hAnsi="Times New Roman"/>
          <w:color w:val="auto"/>
          <w:sz w:val="32"/>
          <w:szCs w:val="32"/>
          <w:lang w:eastAsia="zh-CN"/>
          <w:highlight w:val="auto"/>
        </w:rPr>
        <w:t>万元，其中：基本支出</w:t>
      </w:r>
      <w:r>
        <w:rPr>
          <w:rFonts w:ascii="Times New Roman" w:eastAsia="仿宋_GB2312" w:cs="Times New Roman" w:hAnsi="Times New Roman"/>
          <w:sz w:val="32"/>
          <w:szCs w:val="32"/>
        </w:rPr>
        <w:t>1983.74</w:t>
      </w:r>
      <w:r>
        <w:rPr>
          <w:rFonts w:ascii="Times New Roman" w:eastAsia="仿宋_GB2312" w:cs="Times New Roman" w:hAnsi="Times New Roman"/>
          <w:color w:val="auto"/>
          <w:sz w:val="32"/>
          <w:szCs w:val="32"/>
          <w:lang w:eastAsia="zh-CN"/>
          <w:highlight w:val="auto"/>
        </w:rPr>
        <w:t>万元，占</w:t>
      </w:r>
      <w:r>
        <w:rPr>
          <w:rFonts w:ascii="Times New Roman" w:eastAsia="仿宋_GB2312" w:cs="Times New Roman" w:hAnsi="Times New Roman"/>
          <w:sz w:val="32"/>
          <w:szCs w:val="32"/>
        </w:rPr>
        <w:t>87.21</w:t>
      </w:r>
      <w:r>
        <w:rPr>
          <w:rFonts w:ascii="Times New Roman" w:eastAsia="仿宋_GB2312" w:cs="Times New Roman" w:hAnsi="Times New Roman"/>
          <w:color w:val="auto"/>
          <w:sz w:val="32"/>
          <w:szCs w:val="32"/>
          <w:lang w:eastAsia="zh-CN"/>
          <w:highlight w:val="auto"/>
        </w:rPr>
        <w:t>%；项目支出</w:t>
      </w:r>
      <w:r>
        <w:rPr>
          <w:rFonts w:ascii="Times New Roman" w:eastAsia="仿宋_GB2312" w:cs="Times New Roman" w:hAnsi="Times New Roman"/>
          <w:sz w:val="32"/>
          <w:szCs w:val="32"/>
        </w:rPr>
        <w:t>290.88</w:t>
      </w:r>
      <w:r>
        <w:rPr>
          <w:rFonts w:ascii="Times New Roman" w:eastAsia="仿宋_GB2312" w:cs="Times New Roman" w:hAnsi="Times New Roman"/>
          <w:color w:val="auto"/>
          <w:sz w:val="32"/>
          <w:szCs w:val="32"/>
          <w:lang w:eastAsia="zh-CN"/>
          <w:highlight w:val="auto"/>
        </w:rPr>
        <w:t>万元，占</w:t>
      </w:r>
      <w:r>
        <w:rPr>
          <w:rFonts w:ascii="Times New Roman" w:eastAsia="仿宋_GB2312" w:cs="Times New Roman" w:hAnsi="Times New Roman"/>
          <w:sz w:val="32"/>
          <w:szCs w:val="32"/>
        </w:rPr>
        <w:t>12.78</w:t>
      </w:r>
      <w:r>
        <w:rPr>
          <w:rFonts w:ascii="Times New Roman" w:eastAsia="仿宋_GB2312" w:cs="Times New Roman" w:hAnsi="Times New Roman"/>
          <w:color w:val="auto"/>
          <w:sz w:val="32"/>
          <w:szCs w:val="32"/>
          <w:lang w:eastAsia="zh-CN"/>
          <w:highlight w:val="auto"/>
        </w:rPr>
        <w:t>%。</w:t>
      </w:r>
    </w:p>
    <w:p>
      <w:pPr>
        <w:ind w:firstLineChars="250" w:firstLine="800"/>
        <w:rPr>
          <w:rFonts w:ascii="Times New Roman" w:eastAsia="仿宋" w:cs="Times New Roman" w:hAnsi="Times New Roman"/>
          <w:sz w:val="32"/>
          <w:szCs w:val="32"/>
          <w:shd w:val="pct10" w:color="auto" w:fill="FFFFFF"/>
          <w:lang w:eastAsia="zh-CN"/>
        </w:rPr>
      </w:pPr>
      <w:r>
        <w:rPr>
          <w:rFonts w:ascii="Times New Roman" w:eastAsia="仿宋" w:cs="Times New Roman" w:hAnsi="Times New Roman"/>
          <w:sz w:val="32"/>
          <w:szCs w:val="32"/>
          <w:shd w:val="pct10" w:color="auto" w:fill="FFFFFF"/>
          <w:lang w:eastAsia="zh-CN"/>
        </w:rPr>
        <w:object>
          <v:shape id="_x0000_i3" type="#_x0000_t75" filled="f" stroked="f" alt="olechartimg_1788145922237623_498696192" style="width:323.5pt;height:198.6pt;" o:ole="">
            <v:stroke color="#000000"/>
            <v:imagedata r:id="rId12" o:title="image3"/>
            <o:lock aspectratio="t"/>
            <w10:anchorLock/>
          </v:shape>
          <o:OLEObject Type="Embed" ProgID="Package" ShapeID="_x0000_i3" DrawAspect="Content" ObjectID="_1393063353" r:id="rId13"/>
        </w:object>
      </w:r>
    </w:p>
    <w:p>
      <w:pPr>
        <w:pStyle w:val="32"/>
        <w:spacing w:line="600" w:lineRule="exact"/>
        <w:jc w:val="center"/>
        <w:outlineLvl w:val="1"/>
        <w:rPr>
          <w:rFonts w:ascii="Times New Roman" w:eastAsia="仿宋_GB2312" w:cs="Times New Roman" w:hAnsi="Times New Roman"/>
          <w:sz w:val="32"/>
          <w:szCs w:val="32"/>
        </w:rPr>
      </w:pPr>
      <w:r>
        <w:rPr>
          <w:rFonts w:ascii="Times New Roman" w:eastAsia="仿宋_GB2312" w:cs="Times New Roman" w:hAnsi="Times New Roman"/>
          <w:sz w:val="32"/>
          <w:szCs w:val="32"/>
        </w:rPr>
        <w:t>（图3：支出决算结构图）（饼状图）</w:t>
      </w:r>
    </w:p>
    <w:p>
      <w:pPr>
        <w:spacing w:line="600" w:lineRule="exact"/>
        <w:ind w:firstLineChars="200" w:firstLine="640"/>
        <w:outlineLvl w:val="1"/>
        <w:rPr>
          <w:rFonts w:ascii="Times New Roman" w:eastAsia="黑体" w:cs="Times New Roman" w:hAnsi="Times New Roman"/>
          <w:sz w:val="32"/>
          <w:szCs w:val="32"/>
        </w:rPr>
      </w:pPr>
      <w:bookmarkStart w:id="66" w:name="_Toc15377208"/>
      <w:bookmarkStart w:id="67" w:name="_Toc15396606"/>
    </w:p>
    <w:p>
      <w:pPr>
        <w:spacing w:line="600" w:lineRule="exact"/>
        <w:ind w:firstLineChars="200" w:firstLine="640"/>
        <w:outlineLvl w:val="1"/>
        <w:rPr>
          <w:rStyle w:val="2Char"/>
          <w:rFonts w:ascii="Times New Roman" w:eastAsia="黑体" w:cs="Times New Roman" w:hAnsi="Times New Roman"/>
          <w:b w:val="0"/>
        </w:rPr>
      </w:pPr>
      <w:bookmarkStart w:id="68" w:name="_Toc1373811995_WPSOffice_Level2"/>
      <w:r>
        <w:rPr>
          <w:rFonts w:ascii="Times New Roman" w:eastAsia="黑体" w:cs="Times New Roman" w:hAnsi="Times New Roman"/>
          <w:sz w:val="32"/>
          <w:szCs w:val="32"/>
        </w:rPr>
        <w:t>四、财</w:t>
      </w:r>
      <w:r>
        <w:rPr>
          <w:rStyle w:val="2Char"/>
          <w:rFonts w:ascii="Times New Roman" w:eastAsia="黑体" w:cs="Times New Roman" w:hAnsi="Times New Roman"/>
          <w:b w:val="0"/>
        </w:rPr>
        <w:t>政拨款收入支出决算总体情况说明</w:t>
      </w:r>
      <w:bookmarkEnd w:id="66"/>
      <w:bookmarkEnd w:id="67"/>
      <w:bookmarkEnd w:id="68"/>
    </w:p>
    <w:p>
      <w:pPr>
        <w:spacing w:line="600" w:lineRule="exact"/>
        <w:ind w:firstLine="640"/>
        <w:rPr>
          <w:rFonts w:ascii="Times New Roman" w:eastAsia="仿宋_GB2312" w:cs="Times New Roman" w:hAnsi="Times New Roman"/>
          <w:color w:val="auto"/>
          <w:kern w:val="2"/>
          <w:sz w:val="32"/>
          <w:szCs w:val="32"/>
          <w:lang w:val="en-US" w:eastAsia="zh-CN" w:bidi="ar-SA"/>
          <w:highlight w:val="auto"/>
        </w:rPr>
      </w:pPr>
      <w:r>
        <w:rPr>
          <w:rFonts w:ascii="Times New Roman" w:eastAsia="仿宋_GB2312" w:cs="Times New Roman" w:hAnsi="Times New Roman"/>
          <w:color w:val="auto"/>
          <w:kern w:val="2"/>
          <w:sz w:val="32"/>
          <w:szCs w:val="32"/>
          <w:lang w:val="en-US" w:eastAsia="zh-CN" w:bidi="ar-SA"/>
          <w:highlight w:val="auto"/>
        </w:rPr>
        <w:t>2025年度财政拨款收入、支出总计均为</w:t>
      </w:r>
      <w:r>
        <w:rPr>
          <w:rFonts w:ascii="Times New Roman" w:eastAsia="仿宋_GB2312" w:cs="Times New Roman" w:hAnsi="Times New Roman"/>
          <w:sz w:val="32"/>
          <w:szCs w:val="32"/>
        </w:rPr>
        <w:t>2249.58</w:t>
      </w:r>
      <w:r>
        <w:rPr>
          <w:rFonts w:ascii="Times New Roman" w:eastAsia="仿宋_GB2312" w:cs="Times New Roman" w:hAnsi="Times New Roman"/>
          <w:color w:val="auto"/>
          <w:kern w:val="2"/>
          <w:sz w:val="32"/>
          <w:szCs w:val="32"/>
          <w:lang w:val="en-US" w:eastAsia="zh-CN" w:bidi="ar-SA"/>
          <w:highlight w:val="auto"/>
        </w:rPr>
        <w:t>万元。与上年度相比，财政拨款收入、支出总计各增加22.55万元，增长1%。主要变动原因是</w:t>
      </w:r>
      <w:r>
        <w:rPr>
          <w:rFonts w:ascii="Times New Roman" w:eastAsia="仿宋" w:cs="Times New Roman" w:hAnsi="Times New Roman"/>
          <w:sz w:val="32"/>
          <w:szCs w:val="32"/>
        </w:rPr>
        <w:t>一般公共预算财政拨款</w:t>
      </w:r>
      <w:r>
        <w:rPr>
          <w:rFonts w:ascii="Times New Roman" w:eastAsia="仿宋" w:cs="Times New Roman" w:hAnsi="Times New Roman"/>
          <w:sz w:val="32"/>
          <w:szCs w:val="32"/>
          <w:lang w:val="en-US" w:eastAsia="zh-CN"/>
        </w:rPr>
        <w:t>增加。</w:t>
      </w:r>
    </w:p>
    <w:p>
      <w:pPr>
        <w:pStyle w:val="23"/>
        <w:jc w:val="center"/>
        <w:rPr>
          <w:rFonts w:ascii="Times New Roman" w:eastAsia="仿宋_GB2312" w:cs="Times New Roman" w:hAnsi="Times New Roman"/>
          <w:sz w:val="32"/>
          <w:szCs w:val="32"/>
        </w:rPr>
      </w:pPr>
      <w:r>
        <w:rPr>
          <w:rFonts w:ascii="Times New Roman" w:eastAsia="仿宋" w:cs="Times New Roman" w:hAnsi="Times New Roman"/>
          <w:sz w:val="32"/>
          <w:szCs w:val="32"/>
        </w:rPr>
        <w:object>
          <v:shape id="_x0000_i4" type="#_x0000_t75" filled="f" stroked="f" alt="olechartimg_1788146300521235_352829440" style="width:313.75pt;height:186.4pt;" o:ole="">
            <v:stroke color="#000000"/>
            <v:imagedata r:id="rId14" o:title="image4"/>
            <o:lock aspectratio="t"/>
            <w10:anchorLock/>
          </v:shape>
          <o:OLEObject Type="Embed" ProgID="Package" ShapeID="_x0000_i4" DrawAspect="Content" ObjectID="_1393063354" r:id="rId15"/>
        </w:object>
      </w:r>
    </w:p>
    <w:p>
      <w:pPr>
        <w:spacing w:line="600"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（图4：财政拨款收、支决算总计变动情况）（柱状图）</w:t>
      </w:r>
    </w:p>
    <w:p>
      <w:pPr>
        <w:spacing w:line="600" w:lineRule="exact"/>
        <w:ind w:firstLine="640"/>
        <w:rPr>
          <w:rFonts w:ascii="Times New Roman" w:eastAsia="仿宋_GB2312" w:cs="Times New Roman" w:hAnsi="Times New Roman"/>
          <w:sz w:val="32"/>
          <w:szCs w:val="32"/>
        </w:rPr>
      </w:pPr>
    </w:p>
    <w:p>
      <w:pPr>
        <w:spacing w:line="600" w:lineRule="exact"/>
        <w:ind w:firstLineChars="200" w:firstLine="640"/>
        <w:outlineLvl w:val="1"/>
        <w:rPr>
          <w:rStyle w:val="2Char"/>
          <w:rFonts w:ascii="Times New Roman" w:eastAsia="黑体" w:cs="Times New Roman" w:hAnsi="Times New Roman"/>
          <w:b w:val="0"/>
        </w:rPr>
      </w:pPr>
      <w:bookmarkStart w:id="69" w:name="_Toc15377209"/>
      <w:bookmarkStart w:id="70" w:name="_Toc1035046566_WPSOffice_Level2"/>
      <w:bookmarkStart w:id="71" w:name="_Toc15396607"/>
      <w:r>
        <w:rPr>
          <w:rFonts w:ascii="Times New Roman" w:eastAsia="黑体" w:cs="Times New Roman" w:hAnsi="Times New Roman"/>
          <w:sz w:val="32"/>
          <w:szCs w:val="32"/>
        </w:rPr>
        <w:t>五、</w:t>
      </w:r>
      <w:r>
        <w:rPr>
          <w:rFonts w:ascii="Times New Roman" w:eastAsia="黑体" w:cs="Times New Roman" w:hAnsi="Times New Roman"/>
          <w:b/>
          <w:sz w:val="32"/>
          <w:szCs w:val="32"/>
        </w:rPr>
        <w:t>一</w:t>
      </w:r>
      <w:r>
        <w:rPr>
          <w:rStyle w:val="2Char"/>
          <w:rFonts w:ascii="Times New Roman" w:eastAsia="黑体" w:cs="Times New Roman" w:hAnsi="Times New Roman"/>
          <w:b w:val="0"/>
        </w:rPr>
        <w:t>般公共预算财政拨款支出决算情况说明</w:t>
      </w:r>
      <w:bookmarkEnd w:id="69"/>
      <w:bookmarkEnd w:id="70"/>
      <w:bookmarkEnd w:id="71"/>
    </w:p>
    <w:p>
      <w:pPr>
        <w:spacing w:line="600" w:lineRule="exact"/>
        <w:ind w:firstLineChars="200" w:firstLine="640"/>
        <w:outlineLvl w:val="2"/>
        <w:rPr>
          <w:rFonts w:ascii="Times New Roman" w:eastAsia="楷体_GB2312" w:cs="Times New Roman" w:hAnsi="Times New Roman"/>
          <w:b/>
          <w:sz w:val="32"/>
          <w:szCs w:val="32"/>
        </w:rPr>
      </w:pPr>
      <w:bookmarkStart w:id="72" w:name="_Toc15377210"/>
      <w:r>
        <w:rPr>
          <w:rFonts w:ascii="Times New Roman" w:eastAsia="楷体_GB2312" w:cs="Times New Roman" w:hAnsi="Times New Roman"/>
          <w:b/>
          <w:sz w:val="32"/>
          <w:szCs w:val="32"/>
        </w:rPr>
        <w:t>（一）一般公共预算财政拨款支出决算总体情况</w:t>
      </w:r>
      <w:bookmarkEnd w:id="72"/>
    </w:p>
    <w:p>
      <w:pPr>
        <w:spacing w:line="600" w:lineRule="exact"/>
        <w:ind w:firstLine="640"/>
        <w:rPr>
          <w:rFonts w:ascii="Times New Roman" w:eastAsia="仿宋_GB2312" w:cs="Times New Roman" w:hAnsi="Times New Roman"/>
          <w:sz w:val="32"/>
          <w:szCs w:val="32"/>
        </w:rPr>
      </w:pPr>
      <w:r>
        <w:rPr>
          <w:rFonts w:ascii="Times New Roman" w:eastAsia="仿宋_GB2312" w:cs="Times New Roman" w:hAnsi="Times New Roman"/>
          <w:color w:val="auto"/>
          <w:kern w:val="2"/>
          <w:sz w:val="32"/>
          <w:szCs w:val="32"/>
          <w:lang w:val="en-US" w:eastAsia="zh-CN" w:bidi="ar-SA"/>
          <w:highlight w:val="auto"/>
        </w:rPr>
        <w:t>2025年度一般公共预算财政拨款支出</w:t>
      </w:r>
      <w:r>
        <w:rPr>
          <w:rFonts w:ascii="Times New Roman" w:eastAsia="仿宋_GB2312" w:cs="Times New Roman" w:hAnsi="Times New Roman"/>
          <w:sz w:val="32"/>
          <w:szCs w:val="32"/>
        </w:rPr>
        <w:t>2249.58</w:t>
      </w:r>
      <w:r>
        <w:rPr>
          <w:rFonts w:ascii="Times New Roman" w:eastAsia="仿宋_GB2312" w:cs="Times New Roman" w:hAnsi="Times New Roman"/>
          <w:color w:val="auto"/>
          <w:kern w:val="2"/>
          <w:sz w:val="32"/>
          <w:szCs w:val="32"/>
          <w:lang w:val="en-US" w:eastAsia="zh-CN" w:bidi="ar-SA"/>
          <w:highlight w:val="auto"/>
        </w:rPr>
        <w:t>万元，占本年支出合计的</w:t>
      </w:r>
      <w:r>
        <w:rPr>
          <w:rFonts w:ascii="Times New Roman" w:eastAsia="仿宋_GB2312" w:cs="Times New Roman" w:hAnsi="Times New Roman"/>
          <w:sz w:val="32"/>
          <w:szCs w:val="32"/>
        </w:rPr>
        <w:t>98.89</w:t>
      </w:r>
      <w:r>
        <w:rPr>
          <w:rFonts w:ascii="Times New Roman" w:eastAsia="仿宋_GB2312" w:cs="Times New Roman" w:hAnsi="Times New Roman"/>
          <w:color w:val="auto"/>
          <w:kern w:val="2"/>
          <w:sz w:val="32"/>
          <w:szCs w:val="32"/>
          <w:lang w:val="en-US" w:eastAsia="zh-CN" w:bidi="ar-SA"/>
          <w:highlight w:val="auto"/>
        </w:rPr>
        <w:t>%。与上年度相比，一般公共预算财政拨款支出增加22.55万元，增长1%。主要变动原因是</w:t>
      </w:r>
      <w:r>
        <w:rPr>
          <w:rFonts w:ascii="Times New Roman" w:eastAsia="仿宋" w:cs="Times New Roman" w:hAnsi="Times New Roman"/>
          <w:sz w:val="32"/>
          <w:szCs w:val="32"/>
        </w:rPr>
        <w:t>一般公共预算项目支出</w:t>
      </w:r>
      <w:r>
        <w:rPr>
          <w:rFonts w:ascii="Times New Roman" w:eastAsia="仿宋" w:cs="Times New Roman" w:hAnsi="Times New Roman"/>
          <w:sz w:val="32"/>
          <w:szCs w:val="32"/>
          <w:lang w:val="en-US" w:eastAsia="zh-CN"/>
        </w:rPr>
        <w:t>增加。</w:t>
      </w:r>
    </w:p>
    <w:p>
      <w:pPr>
        <w:pStyle w:val="23"/>
        <w:jc w:val="center"/>
        <w:rPr>
          <w:rFonts w:ascii="Times New Roman" w:cs="Times New Roman" w:hAnsi="Times New Roman"/>
        </w:rPr>
      </w:pPr>
      <w:r>
        <w:rPr>
          <w:rFonts w:ascii="Times New Roman" w:eastAsia="仿宋" w:cs="Times New Roman" w:hAnsi="Times New Roman"/>
          <w:sz w:val="32"/>
          <w:szCs w:val="32"/>
        </w:rPr>
        <w:object>
          <v:shape id="_x0000_i5" type="#_x0000_t75" filled="f" stroked="f" style="width:279.5pt;height:164.15pt;" o:ole="">
            <v:stroke color="#000000"/>
            <v:imagedata r:id="rId16" o:title="image5"/>
            <o:lock aspectratio="t"/>
            <w10:anchorLock/>
          </v:shape>
          <o:OLEObject Type="Embed" ProgID="Package" ShapeID="_x0000_i5" DrawAspect="Content" ObjectID="_1393063355" r:id="rId17"/>
        </w:object>
      </w:r>
    </w:p>
    <w:p>
      <w:pPr>
        <w:spacing w:line="600" w:lineRule="exact"/>
        <w:ind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（图5：一般公共预算财政拨款支出决算变动情况）（柱状图）</w:t>
      </w:r>
    </w:p>
    <w:p>
      <w:pPr>
        <w:spacing w:line="600" w:lineRule="exact"/>
        <w:ind w:firstLine="640"/>
        <w:rPr>
          <w:rFonts w:ascii="Times New Roman" w:eastAsia="仿宋_GB2312" w:cs="Times New Roman" w:hAnsi="Times New Roman"/>
          <w:sz w:val="32"/>
          <w:szCs w:val="32"/>
        </w:rPr>
      </w:pPr>
    </w:p>
    <w:p>
      <w:pPr>
        <w:spacing w:line="600" w:lineRule="exact"/>
        <w:ind w:firstLineChars="200" w:firstLine="640"/>
        <w:outlineLvl w:val="2"/>
        <w:rPr>
          <w:rFonts w:ascii="Times New Roman" w:eastAsia="楷体_GB2312" w:cs="Times New Roman" w:hAnsi="Times New Roman"/>
          <w:b/>
          <w:sz w:val="32"/>
          <w:szCs w:val="32"/>
        </w:rPr>
      </w:pPr>
      <w:bookmarkStart w:id="73" w:name="_Toc15377211"/>
      <w:r>
        <w:rPr>
          <w:rFonts w:ascii="Times New Roman" w:eastAsia="楷体_GB2312" w:cs="Times New Roman" w:hAnsi="Times New Roman"/>
          <w:b/>
          <w:sz w:val="32"/>
          <w:szCs w:val="32"/>
        </w:rPr>
        <w:t>（二）一般公共预算财政拨款支出决算结构情况</w:t>
      </w:r>
      <w:bookmarkEnd w:id="73"/>
    </w:p>
    <w:p>
      <w:pPr>
        <w:spacing w:line="600" w:lineRule="exact"/>
        <w:ind w:firstLine="640"/>
        <w:rPr>
          <w:rFonts w:ascii="Times New Roman" w:eastAsia="仿宋_GB2312" w:cs="Times New Roman" w:hAnsi="Times New Roman"/>
          <w:b w:val="0"/>
          <w:bCs/>
          <w:color w:val="auto"/>
          <w:kern w:val="2"/>
          <w:sz w:val="32"/>
          <w:szCs w:val="32"/>
          <w:lang w:val="en-US" w:eastAsia="zh-CN" w:bidi="ar-SA"/>
          <w:highlight w:val="auto"/>
        </w:rPr>
      </w:pPr>
      <w:r>
        <w:rPr>
          <w:rFonts w:ascii="Times New Roman" w:eastAsia="仿宋_GB2312" w:cs="Times New Roman" w:hAnsi="Times New Roman"/>
          <w:color w:val="auto"/>
          <w:kern w:val="2"/>
          <w:sz w:val="32"/>
          <w:szCs w:val="32"/>
          <w:lang w:val="en-US" w:eastAsia="zh-CN" w:bidi="ar-SA"/>
          <w:highlight w:val="auto"/>
        </w:rPr>
        <w:t>2025年度一般公共预算财政拨款支出</w:t>
      </w:r>
      <w:r>
        <w:rPr>
          <w:rFonts w:ascii="Times New Roman" w:eastAsia="仿宋_GB2312" w:cs="Times New Roman" w:hAnsi="Times New Roman"/>
          <w:sz w:val="32"/>
          <w:szCs w:val="32"/>
        </w:rPr>
        <w:t>2249.58</w:t>
      </w:r>
      <w:r>
        <w:rPr>
          <w:rFonts w:ascii="Times New Roman" w:eastAsia="仿宋_GB2312" w:cs="Times New Roman" w:hAnsi="Times New Roman"/>
          <w:color w:val="auto"/>
          <w:kern w:val="2"/>
          <w:sz w:val="32"/>
          <w:szCs w:val="32"/>
          <w:lang w:val="en-US" w:eastAsia="zh-CN" w:bidi="ar-SA"/>
          <w:highlight w:val="auto"/>
        </w:rPr>
        <w:t>万元，主要用于以下方面：</w:t>
      </w:r>
      <w:r>
        <w:rPr>
          <w:rFonts w:ascii="Times New Roman" w:eastAsia="仿宋" w:cs="Times New Roman" w:hAnsi="Times New Roman"/>
          <w:b w:val="0"/>
          <w:bCs/>
          <w:sz w:val="32"/>
          <w:szCs w:val="32"/>
        </w:rPr>
        <w:t>一般公共服务支出</w:t>
      </w:r>
      <w:r>
        <w:rPr>
          <w:rFonts w:ascii="Times New Roman" w:eastAsia="仿宋" w:cs="Times New Roman" w:hAnsi="Times New Roman"/>
          <w:b w:val="0"/>
          <w:bCs/>
          <w:sz w:val="32"/>
          <w:szCs w:val="32"/>
          <w:lang w:val="en-US" w:eastAsia="zh-CN"/>
        </w:rPr>
        <w:t>8.05</w:t>
      </w:r>
      <w:r>
        <w:rPr>
          <w:rFonts w:ascii="Times New Roman" w:eastAsia="仿宋" w:cs="Times New Roman" w:hAnsi="Times New Roman"/>
          <w:b w:val="0"/>
          <w:bCs/>
          <w:sz w:val="32"/>
          <w:szCs w:val="32"/>
        </w:rPr>
        <w:t>万元，占</w:t>
      </w:r>
      <w:r>
        <w:rPr>
          <w:rFonts w:ascii="Times New Roman" w:eastAsia="仿宋" w:cs="Times New Roman" w:hAnsi="Times New Roman"/>
          <w:b w:val="0"/>
          <w:bCs/>
          <w:sz w:val="32"/>
          <w:szCs w:val="32"/>
          <w:lang w:val="en-US" w:eastAsia="zh-CN"/>
        </w:rPr>
        <w:t>0.4</w:t>
      </w:r>
      <w:r>
        <w:rPr>
          <w:rFonts w:ascii="Times New Roman" w:eastAsia="仿宋" w:cs="Times New Roman" w:hAnsi="Times New Roman"/>
          <w:b w:val="0"/>
          <w:bCs/>
          <w:sz w:val="32"/>
          <w:szCs w:val="32"/>
        </w:rPr>
        <w:t>%；公共安全支出</w:t>
      </w:r>
      <w:r>
        <w:rPr>
          <w:rFonts w:ascii="Times New Roman" w:eastAsia="仿宋" w:cs="Times New Roman" w:hAnsi="Times New Roman"/>
          <w:b w:val="0"/>
          <w:bCs/>
          <w:sz w:val="32"/>
          <w:szCs w:val="32"/>
          <w:lang w:val="en-US" w:eastAsia="zh-CN"/>
        </w:rPr>
        <w:t>1659.25</w:t>
      </w:r>
      <w:r>
        <w:rPr>
          <w:rFonts w:ascii="Times New Roman" w:eastAsia="仿宋" w:cs="Times New Roman" w:hAnsi="Times New Roman"/>
          <w:b w:val="0"/>
          <w:bCs/>
          <w:sz w:val="32"/>
          <w:szCs w:val="32"/>
        </w:rPr>
        <w:t>万元，占</w:t>
      </w:r>
      <w:r>
        <w:rPr>
          <w:rFonts w:ascii="Times New Roman" w:eastAsia="仿宋" w:cs="Times New Roman" w:hAnsi="Times New Roman"/>
          <w:b w:val="0"/>
          <w:bCs/>
          <w:sz w:val="32"/>
          <w:szCs w:val="32"/>
          <w:lang w:val="en-US" w:eastAsia="zh-CN"/>
        </w:rPr>
        <w:t>73.8</w:t>
      </w:r>
      <w:r>
        <w:rPr>
          <w:rFonts w:ascii="Times New Roman" w:eastAsia="仿宋" w:cs="Times New Roman" w:hAnsi="Times New Roman"/>
          <w:b w:val="0"/>
          <w:bCs/>
          <w:sz w:val="32"/>
          <w:szCs w:val="32"/>
        </w:rPr>
        <w:t>%；社会保障和就业支出</w:t>
      </w:r>
      <w:r>
        <w:rPr>
          <w:rFonts w:ascii="Times New Roman" w:eastAsia="仿宋" w:cs="Times New Roman" w:hAnsi="Times New Roman"/>
          <w:b w:val="0"/>
          <w:bCs/>
          <w:sz w:val="32"/>
          <w:szCs w:val="32"/>
          <w:lang w:val="en-US" w:eastAsia="zh-CN"/>
        </w:rPr>
        <w:t>358.38</w:t>
      </w:r>
      <w:r>
        <w:rPr>
          <w:rFonts w:ascii="Times New Roman" w:eastAsia="仿宋" w:cs="Times New Roman" w:hAnsi="Times New Roman"/>
          <w:b w:val="0"/>
          <w:bCs/>
          <w:sz w:val="32"/>
          <w:szCs w:val="32"/>
        </w:rPr>
        <w:t>万元，占</w:t>
      </w:r>
      <w:r>
        <w:rPr>
          <w:rFonts w:ascii="Times New Roman" w:eastAsia="仿宋" w:cs="Times New Roman" w:hAnsi="Times New Roman"/>
          <w:b w:val="0"/>
          <w:bCs/>
          <w:sz w:val="32"/>
          <w:szCs w:val="32"/>
          <w:lang w:val="en-US" w:eastAsia="zh-CN"/>
        </w:rPr>
        <w:t>15.9</w:t>
      </w:r>
      <w:r>
        <w:rPr>
          <w:rFonts w:ascii="Times New Roman" w:eastAsia="仿宋" w:cs="Times New Roman" w:hAnsi="Times New Roman"/>
          <w:b w:val="0"/>
          <w:bCs/>
          <w:sz w:val="32"/>
          <w:szCs w:val="32"/>
        </w:rPr>
        <w:t>%；卫生健康支出</w:t>
      </w:r>
      <w:r>
        <w:rPr>
          <w:rFonts w:ascii="Times New Roman" w:eastAsia="仿宋" w:cs="Times New Roman" w:hAnsi="Times New Roman"/>
          <w:b w:val="0"/>
          <w:bCs/>
          <w:sz w:val="32"/>
          <w:szCs w:val="32"/>
          <w:lang w:val="en-US" w:eastAsia="zh-CN"/>
        </w:rPr>
        <w:t>96.29</w:t>
      </w:r>
      <w:r>
        <w:rPr>
          <w:rFonts w:ascii="Times New Roman" w:eastAsia="仿宋" w:cs="Times New Roman" w:hAnsi="Times New Roman"/>
          <w:b w:val="0"/>
          <w:bCs/>
          <w:sz w:val="32"/>
          <w:szCs w:val="32"/>
        </w:rPr>
        <w:t>万元，占</w:t>
      </w:r>
      <w:r>
        <w:rPr>
          <w:rFonts w:ascii="Times New Roman" w:eastAsia="仿宋" w:cs="Times New Roman" w:hAnsi="Times New Roman"/>
          <w:b w:val="0"/>
          <w:bCs/>
          <w:sz w:val="32"/>
          <w:szCs w:val="32"/>
          <w:lang w:val="en-US" w:eastAsia="zh-CN"/>
        </w:rPr>
        <w:t>4.3</w:t>
      </w:r>
      <w:r>
        <w:rPr>
          <w:rFonts w:ascii="Times New Roman" w:eastAsia="仿宋" w:cs="Times New Roman" w:hAnsi="Times New Roman"/>
          <w:b w:val="0"/>
          <w:bCs/>
          <w:sz w:val="32"/>
          <w:szCs w:val="32"/>
        </w:rPr>
        <w:t>%；住房保障支出</w:t>
      </w:r>
      <w:r>
        <w:rPr>
          <w:rFonts w:ascii="Times New Roman" w:eastAsia="仿宋" w:cs="Times New Roman" w:hAnsi="Times New Roman"/>
          <w:b w:val="0"/>
          <w:bCs/>
          <w:sz w:val="32"/>
          <w:szCs w:val="32"/>
          <w:lang w:val="en-US" w:eastAsia="zh-CN"/>
        </w:rPr>
        <w:t>127.62</w:t>
      </w:r>
      <w:r>
        <w:rPr>
          <w:rFonts w:ascii="Times New Roman" w:eastAsia="仿宋" w:cs="Times New Roman" w:hAnsi="Times New Roman"/>
          <w:b w:val="0"/>
          <w:bCs/>
          <w:sz w:val="32"/>
          <w:szCs w:val="32"/>
        </w:rPr>
        <w:t>万元，占</w:t>
      </w:r>
      <w:r>
        <w:rPr>
          <w:rFonts w:ascii="Times New Roman" w:eastAsia="仿宋" w:cs="Times New Roman" w:hAnsi="Times New Roman"/>
          <w:b w:val="0"/>
          <w:bCs/>
          <w:sz w:val="32"/>
          <w:szCs w:val="32"/>
          <w:lang w:val="en-US" w:eastAsia="zh-CN"/>
        </w:rPr>
        <w:t>5.7</w:t>
      </w:r>
      <w:r>
        <w:rPr>
          <w:rFonts w:ascii="Times New Roman" w:eastAsia="仿宋" w:cs="Times New Roman" w:hAnsi="Times New Roman"/>
          <w:b w:val="0"/>
          <w:bCs/>
          <w:sz w:val="32"/>
          <w:szCs w:val="32"/>
        </w:rPr>
        <w:t>%。</w:t>
      </w:r>
    </w:p>
    <w:p>
      <w:pPr>
        <w:pStyle w:val="18"/>
        <w:rPr>
          <w:rFonts w:ascii="Times New Roman" w:eastAsia="仿宋_GB2312" w:cs="Times New Roman" w:hAnsi="Times New Roman"/>
          <w:b/>
          <w:bCs/>
          <w:color w:val="auto"/>
          <w:kern w:val="2"/>
          <w:sz w:val="32"/>
          <w:szCs w:val="32"/>
          <w:lang w:val="en-US" w:eastAsia="zh-CN" w:bidi="ar-SA"/>
          <w:highlight w:val="auto"/>
        </w:rPr>
      </w:pPr>
      <w:r>
        <w:rPr>
          <w:rFonts w:ascii="Times New Roman" w:eastAsia="宋体" w:cs="Times New Roman" w:hAnsi="Times New Roman"/>
          <w:lang w:eastAsia="zh-CN"/>
        </w:rPr>
        <w:object>
          <v:shape id="_x0000_i6" type="#_x0000_t75" filled="f" stroked="f" alt="olechartimg_1788147288255593_358287360" style="width:318.15pt;height:193.39998pt;" o:ole="">
            <v:stroke color="#000000"/>
            <v:imagedata r:id="rId18" o:title="image6"/>
            <o:lock aspectratio="t"/>
            <w10:anchorLock/>
          </v:shape>
          <o:OLEObject Type="Embed" ProgID="Package" ShapeID="_x0000_i6" DrawAspect="Content" ObjectID="_1393063356" r:id="rId19"/>
        </w:object>
      </w:r>
    </w:p>
    <w:p>
      <w:pPr>
        <w:spacing w:line="600" w:lineRule="exact"/>
        <w:ind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（图6：一般公共预算财政拨款支出决算结构）（饼状图）</w:t>
      </w:r>
    </w:p>
    <w:p>
      <w:pPr>
        <w:spacing w:line="600" w:lineRule="exact"/>
        <w:ind w:firstLine="640"/>
        <w:rPr>
          <w:rFonts w:ascii="Times New Roman" w:eastAsia="仿宋_GB2312" w:cs="Times New Roman" w:hAnsi="Times New Roman"/>
          <w:sz w:val="32"/>
          <w:szCs w:val="32"/>
        </w:rPr>
      </w:pPr>
    </w:p>
    <w:p>
      <w:pPr>
        <w:spacing w:line="600" w:lineRule="exact"/>
        <w:ind w:firstLineChars="200" w:firstLine="640"/>
        <w:outlineLvl w:val="2"/>
        <w:rPr>
          <w:rFonts w:ascii="Times New Roman" w:eastAsia="楷体_GB2312" w:cs="Times New Roman" w:hAnsi="Times New Roman"/>
          <w:b/>
          <w:sz w:val="32"/>
          <w:szCs w:val="32"/>
        </w:rPr>
      </w:pPr>
      <w:bookmarkStart w:id="74" w:name="_Toc15377212"/>
      <w:r>
        <w:rPr>
          <w:rFonts w:ascii="Times New Roman" w:eastAsia="楷体_GB2312" w:cs="Times New Roman" w:hAnsi="Times New Roman"/>
          <w:b/>
          <w:sz w:val="32"/>
          <w:szCs w:val="32"/>
        </w:rPr>
        <w:t>（三）一般公共预算财政拨款支出决算具体情况</w:t>
      </w:r>
      <w:bookmarkEnd w:id="74"/>
    </w:p>
    <w:p>
      <w:pPr>
        <w:spacing w:line="600" w:lineRule="exact"/>
        <w:ind w:firstLineChars="200" w:firstLine="640"/>
        <w:outlineLvl w:val="2"/>
        <w:rPr>
          <w:rStyle w:val="25"/>
          <w:rFonts w:ascii="Times New Roman" w:eastAsia="仿宋" w:cs="Times New Roman" w:hAnsi="Times New Roman"/>
          <w:b w:val="0"/>
          <w:bCs/>
          <w:sz w:val="32"/>
          <w:szCs w:val="32"/>
        </w:rPr>
      </w:pPr>
      <w:bookmarkStart w:id="75" w:name="_Toc15378460"/>
      <w:bookmarkStart w:id="76" w:name="_Toc176939607"/>
      <w:bookmarkStart w:id="77" w:name="_Toc15377444"/>
      <w:bookmarkStart w:id="78" w:name="_Toc15377213"/>
      <w:r>
        <w:rPr>
          <w:rFonts w:ascii="Times New Roman" w:eastAsia="仿宋" w:cs="Times New Roman" w:hAnsi="Times New Roman"/>
          <w:b w:val="0"/>
          <w:bCs/>
          <w:sz w:val="32"/>
          <w:szCs w:val="32"/>
        </w:rPr>
        <w:t>202</w:t>
      </w:r>
      <w:r>
        <w:rPr>
          <w:rFonts w:ascii="Times New Roman" w:eastAsia="仿宋" w:cs="Times New Roman" w:hAnsi="Times New Roman"/>
          <w:b w:val="0"/>
          <w:bCs/>
          <w:sz w:val="32"/>
          <w:szCs w:val="32"/>
          <w:lang w:val="en-US" w:eastAsia="zh-CN"/>
        </w:rPr>
        <w:t>5</w:t>
      </w:r>
      <w:r>
        <w:rPr>
          <w:rFonts w:ascii="Times New Roman" w:eastAsia="仿宋" w:cs="Times New Roman" w:hAnsi="Times New Roman"/>
          <w:b w:val="0"/>
          <w:bCs/>
          <w:sz w:val="32"/>
          <w:szCs w:val="32"/>
        </w:rPr>
        <w:t>年度一般公共预算支出决算数为</w:t>
      </w:r>
      <w:r>
        <w:rPr>
          <w:rFonts w:ascii="Times New Roman" w:eastAsia="仿宋" w:cs="Times New Roman" w:hAnsi="Times New Roman"/>
          <w:b w:val="0"/>
          <w:bCs/>
          <w:sz w:val="32"/>
          <w:szCs w:val="32"/>
          <w:lang w:val="en-US" w:eastAsia="zh-CN"/>
        </w:rPr>
        <w:t>2249.58</w:t>
      </w:r>
      <w:r>
        <w:rPr>
          <w:rFonts w:ascii="Times New Roman" w:eastAsia="仿宋" w:cs="Times New Roman" w:hAnsi="Times New Roman"/>
          <w:b w:val="0"/>
          <w:bCs/>
          <w:sz w:val="32"/>
          <w:szCs w:val="32"/>
        </w:rPr>
        <w:t>万元，</w:t>
      </w:r>
      <w:r>
        <w:rPr>
          <w:rStyle w:val="25"/>
          <w:rFonts w:ascii="Times New Roman" w:eastAsia="仿宋" w:cs="Times New Roman" w:hAnsi="Times New Roman"/>
          <w:b w:val="0"/>
          <w:bCs/>
          <w:sz w:val="32"/>
          <w:szCs w:val="32"/>
        </w:rPr>
        <w:t>完成预算100%。其中：</w:t>
      </w:r>
      <w:bookmarkEnd w:id="75"/>
      <w:bookmarkEnd w:id="76"/>
      <w:bookmarkEnd w:id="77"/>
      <w:bookmarkEnd w:id="78"/>
    </w:p>
    <w:p>
      <w:pPr>
        <w:pStyle w:val="23"/>
        <w:rPr>
          <w:rFonts w:ascii="Times New Roman" w:cs="Times New Roman" w:hAnsi="Times New Roman"/>
          <w:b w:val="0"/>
          <w:bCs/>
        </w:rPr>
      </w:pPr>
    </w:p>
    <w:p>
      <w:pPr>
        <w:spacing w:line="600" w:lineRule="exact"/>
        <w:ind w:firstLine="643"/>
        <w:rPr>
          <w:rFonts w:ascii="Times New Roman" w:eastAsia="仿宋" w:cs="Times New Roman" w:hAnsi="Times New Roman"/>
          <w:b w:val="0"/>
          <w:bCs/>
          <w:kern w:val="0"/>
          <w:sz w:val="32"/>
          <w:szCs w:val="32"/>
        </w:rPr>
      </w:pPr>
      <w:r>
        <w:rPr>
          <w:rFonts w:ascii="Times New Roman" w:eastAsia="仿宋" w:cs="Times New Roman" w:hAnsi="Times New Roman"/>
          <w:b w:val="0"/>
          <w:bCs/>
          <w:kern w:val="0"/>
          <w:sz w:val="32"/>
          <w:szCs w:val="32"/>
        </w:rPr>
        <w:t>1.</w:t>
      </w:r>
      <w:r>
        <w:rPr>
          <w:rFonts w:ascii="Times New Roman" w:eastAsia="仿宋" w:cs="Times New Roman" w:hAnsi="Times New Roman"/>
          <w:b w:val="0"/>
          <w:bCs/>
          <w:sz w:val="32"/>
          <w:szCs w:val="32"/>
        </w:rPr>
        <w:t>一般公共服务（类）组织事务（款）其他组织事务支出（项）:</w:t>
      </w:r>
      <w:r>
        <w:rPr>
          <w:rStyle w:val="25"/>
          <w:rFonts w:ascii="Times New Roman" w:eastAsia="仿宋" w:cs="Times New Roman" w:hAnsi="Times New Roman"/>
          <w:b w:val="0"/>
          <w:bCs/>
          <w:sz w:val="32"/>
          <w:szCs w:val="32"/>
        </w:rPr>
        <w:t>支出决算为</w:t>
      </w:r>
      <w:r>
        <w:rPr>
          <w:rStyle w:val="25"/>
          <w:rFonts w:ascii="Times New Roman" w:eastAsia="仿宋" w:cs="Times New Roman" w:hAnsi="Times New Roman"/>
          <w:b w:val="0"/>
          <w:bCs/>
          <w:sz w:val="32"/>
          <w:szCs w:val="32"/>
          <w:lang w:val="en-US" w:eastAsia="zh-CN"/>
        </w:rPr>
        <w:t>8.05</w:t>
      </w:r>
      <w:r>
        <w:rPr>
          <w:rStyle w:val="25"/>
          <w:rFonts w:ascii="Times New Roman" w:eastAsia="仿宋" w:cs="Times New Roman" w:hAnsi="Times New Roman"/>
          <w:b w:val="0"/>
          <w:bCs/>
          <w:sz w:val="32"/>
          <w:szCs w:val="32"/>
        </w:rPr>
        <w:t>万元，完成预算100%，</w:t>
      </w:r>
      <w:r>
        <w:rPr>
          <w:rFonts w:ascii="Times New Roman" w:eastAsia="仿宋" w:cs="Times New Roman" w:hAnsi="Times New Roman"/>
          <w:b w:val="0"/>
          <w:bCs/>
          <w:kern w:val="0"/>
          <w:sz w:val="32"/>
          <w:szCs w:val="32"/>
        </w:rPr>
        <w:t>决算数等于预算数。</w:t>
      </w:r>
    </w:p>
    <w:p>
      <w:pPr>
        <w:spacing w:line="600" w:lineRule="exact"/>
        <w:ind w:firstLineChars="200" w:firstLine="640"/>
        <w:rPr>
          <w:rFonts w:ascii="Times New Roman" w:eastAsia="仿宋" w:cs="Times New Roman" w:hAnsi="Times New Roman"/>
          <w:b w:val="0"/>
          <w:bCs/>
          <w:kern w:val="0"/>
          <w:sz w:val="32"/>
          <w:szCs w:val="32"/>
        </w:rPr>
      </w:pPr>
      <w:r>
        <w:rPr>
          <w:rFonts w:ascii="Times New Roman" w:eastAsia="仿宋" w:cs="Times New Roman" w:hAnsi="Times New Roman"/>
          <w:b w:val="0"/>
          <w:bCs/>
          <w:kern w:val="0"/>
          <w:sz w:val="32"/>
          <w:szCs w:val="32"/>
        </w:rPr>
        <w:t>2.</w:t>
      </w:r>
      <w:r>
        <w:rPr>
          <w:rFonts w:ascii="Times New Roman" w:eastAsia="仿宋" w:cs="Times New Roman" w:hAnsi="Times New Roman"/>
          <w:b w:val="0"/>
          <w:bCs/>
          <w:sz w:val="32"/>
          <w:szCs w:val="32"/>
        </w:rPr>
        <w:t>公共安全支出（类）司法（款）行政运行（项）:</w:t>
      </w:r>
      <w:r>
        <w:rPr>
          <w:rFonts w:ascii="Times New Roman" w:eastAsia="仿宋" w:cs="Times New Roman" w:hAnsi="Times New Roman"/>
          <w:b w:val="0"/>
          <w:bCs/>
          <w:kern w:val="0"/>
          <w:sz w:val="32"/>
          <w:szCs w:val="32"/>
        </w:rPr>
        <w:t>支出决算为</w:t>
      </w:r>
      <w:r>
        <w:rPr>
          <w:rFonts w:ascii="Times New Roman" w:eastAsia="仿宋" w:cs="Times New Roman" w:hAnsi="Times New Roman"/>
          <w:b w:val="0"/>
          <w:bCs/>
          <w:kern w:val="0"/>
          <w:sz w:val="32"/>
          <w:szCs w:val="32"/>
          <w:lang w:val="en-US" w:eastAsia="zh-CN"/>
        </w:rPr>
        <w:t>1343.74</w:t>
      </w:r>
      <w:r>
        <w:rPr>
          <w:rFonts w:ascii="Times New Roman" w:eastAsia="仿宋" w:cs="Times New Roman" w:hAnsi="Times New Roman"/>
          <w:b w:val="0"/>
          <w:bCs/>
          <w:kern w:val="0"/>
          <w:sz w:val="32"/>
          <w:szCs w:val="32"/>
        </w:rPr>
        <w:t>万元，完成预算100%，决算数等于预算数。</w:t>
      </w:r>
    </w:p>
    <w:p>
      <w:pPr>
        <w:spacing w:line="600" w:lineRule="exact"/>
        <w:ind w:firstLineChars="200" w:firstLine="640"/>
        <w:rPr>
          <w:rFonts w:ascii="Times New Roman" w:eastAsia="仿宋" w:cs="Times New Roman" w:hAnsi="Times New Roman"/>
          <w:b w:val="0"/>
          <w:bCs/>
          <w:kern w:val="0"/>
          <w:sz w:val="32"/>
          <w:szCs w:val="32"/>
        </w:rPr>
      </w:pPr>
      <w:r>
        <w:rPr>
          <w:rFonts w:ascii="Times New Roman" w:eastAsia="仿宋" w:cs="Times New Roman" w:hAnsi="Times New Roman"/>
          <w:b w:val="0"/>
          <w:bCs/>
          <w:kern w:val="0"/>
          <w:sz w:val="32"/>
          <w:szCs w:val="32"/>
        </w:rPr>
        <w:t>3.</w:t>
      </w:r>
      <w:r>
        <w:rPr>
          <w:rFonts w:ascii="Times New Roman" w:eastAsia="仿宋" w:cs="Times New Roman" w:hAnsi="Times New Roman"/>
          <w:b w:val="0"/>
          <w:bCs/>
          <w:sz w:val="32"/>
          <w:szCs w:val="32"/>
        </w:rPr>
        <w:t>公共安全支出（类）司法（款）一般行政管理事务（项）:</w:t>
      </w:r>
      <w:r>
        <w:rPr>
          <w:rFonts w:ascii="Times New Roman" w:eastAsia="仿宋" w:cs="Times New Roman" w:hAnsi="Times New Roman"/>
          <w:b w:val="0"/>
          <w:bCs/>
          <w:kern w:val="0"/>
          <w:sz w:val="32"/>
          <w:szCs w:val="32"/>
        </w:rPr>
        <w:t>支出决算为</w:t>
      </w:r>
      <w:r>
        <w:rPr>
          <w:rFonts w:ascii="Times New Roman" w:eastAsia="仿宋" w:cs="Times New Roman" w:hAnsi="Times New Roman"/>
          <w:b w:val="0"/>
          <w:bCs/>
          <w:kern w:val="0"/>
          <w:sz w:val="32"/>
          <w:szCs w:val="32"/>
          <w:lang w:val="en-US" w:eastAsia="zh-CN"/>
        </w:rPr>
        <w:t>10</w:t>
      </w:r>
      <w:r>
        <w:rPr>
          <w:rFonts w:ascii="Times New Roman" w:eastAsia="仿宋" w:cs="Times New Roman" w:hAnsi="Times New Roman"/>
          <w:b w:val="0"/>
          <w:bCs/>
          <w:kern w:val="0"/>
          <w:sz w:val="32"/>
          <w:szCs w:val="32"/>
        </w:rPr>
        <w:t>万元，完成预算100%，决算数等于预算数。</w:t>
      </w:r>
    </w:p>
    <w:p>
      <w:pPr>
        <w:pStyle w:val="23"/>
        <w:rPr>
          <w:rFonts w:ascii="Times New Roman" w:cs="Times New Roman" w:hAnsi="Times New Roman"/>
          <w:b w:val="0"/>
          <w:bCs/>
        </w:rPr>
      </w:pPr>
    </w:p>
    <w:p>
      <w:pPr>
        <w:pStyle w:val="18"/>
        <w:ind w:leftChars="0" w:left="0" w:firstLineChars="200" w:firstLine="640"/>
        <w:rPr>
          <w:rFonts w:ascii="Times New Roman" w:eastAsia="仿宋" w:cs="Times New Roman" w:hAnsi="Times New Roman"/>
          <w:b w:val="0"/>
          <w:bCs/>
          <w:kern w:val="0"/>
          <w:sz w:val="32"/>
        </w:rPr>
      </w:pPr>
      <w:r>
        <w:rPr>
          <w:rFonts w:ascii="Times New Roman" w:eastAsia="仿宋" w:cs="Times New Roman" w:hAnsi="Times New Roman"/>
          <w:b w:val="0"/>
          <w:bCs/>
          <w:kern w:val="0"/>
          <w:sz w:val="32"/>
        </w:rPr>
        <w:t>4.</w:t>
      </w:r>
      <w:r>
        <w:rPr>
          <w:rFonts w:ascii="Times New Roman" w:eastAsia="仿宋" w:cs="Times New Roman" w:hAnsi="Times New Roman"/>
          <w:b w:val="0"/>
          <w:bCs/>
          <w:sz w:val="32"/>
        </w:rPr>
        <w:t>公共安全支出（类）司法（款）</w:t>
      </w:r>
      <w:r>
        <w:rPr>
          <w:rFonts w:ascii="Times New Roman" w:eastAsia="仿宋" w:cs="Times New Roman" w:hAnsi="Times New Roman"/>
          <w:b w:val="0"/>
          <w:bCs/>
          <w:sz w:val="32"/>
          <w:lang w:eastAsia="zh-CN"/>
        </w:rPr>
        <w:t>律师管理</w:t>
      </w:r>
      <w:r>
        <w:rPr>
          <w:rFonts w:ascii="Times New Roman" w:eastAsia="仿宋" w:cs="Times New Roman" w:hAnsi="Times New Roman"/>
          <w:b w:val="0"/>
          <w:bCs/>
          <w:sz w:val="32"/>
        </w:rPr>
        <w:t>（项）:</w:t>
      </w:r>
      <w:r>
        <w:rPr>
          <w:rFonts w:ascii="Times New Roman" w:eastAsia="仿宋" w:cs="Times New Roman" w:hAnsi="Times New Roman"/>
          <w:b w:val="0"/>
          <w:bCs/>
          <w:kern w:val="0"/>
          <w:sz w:val="32"/>
        </w:rPr>
        <w:t xml:space="preserve"> 支出决算为</w:t>
      </w:r>
      <w:r>
        <w:rPr>
          <w:rFonts w:ascii="Times New Roman" w:eastAsia="仿宋" w:cs="Times New Roman" w:hAnsi="Times New Roman"/>
          <w:b w:val="0"/>
          <w:bCs/>
          <w:kern w:val="0"/>
          <w:sz w:val="32"/>
          <w:lang w:val="en-US" w:eastAsia="zh-CN"/>
        </w:rPr>
        <w:t>11.46</w:t>
      </w:r>
      <w:r>
        <w:rPr>
          <w:rFonts w:ascii="Times New Roman" w:eastAsia="仿宋" w:cs="Times New Roman" w:hAnsi="Times New Roman"/>
          <w:b w:val="0"/>
          <w:bCs/>
          <w:kern w:val="0"/>
          <w:sz w:val="32"/>
        </w:rPr>
        <w:t>万元，完成预算100%，决算数等于预算数。</w:t>
      </w:r>
    </w:p>
    <w:p>
      <w:pPr>
        <w:pStyle w:val="18"/>
        <w:ind w:leftChars="0" w:left="0" w:firstLineChars="200" w:firstLine="640"/>
        <w:rPr>
          <w:rFonts w:ascii="Times New Roman" w:cs="Times New Roman" w:hAnsi="Times New Roman"/>
          <w:b w:val="0"/>
          <w:bCs/>
        </w:rPr>
      </w:pPr>
      <w:r>
        <w:rPr>
          <w:rFonts w:ascii="Times New Roman" w:eastAsia="仿宋" w:cs="Times New Roman" w:hAnsi="Times New Roman"/>
          <w:b w:val="0"/>
          <w:bCs/>
          <w:kern w:val="0"/>
          <w:sz w:val="32"/>
          <w:lang w:val="en-US" w:eastAsia="zh-CN"/>
        </w:rPr>
        <w:t>5</w:t>
      </w:r>
      <w:r>
        <w:rPr>
          <w:rFonts w:ascii="Times New Roman" w:eastAsia="仿宋" w:cs="Times New Roman" w:hAnsi="Times New Roman"/>
          <w:b w:val="0"/>
          <w:bCs/>
          <w:kern w:val="0"/>
          <w:sz w:val="32"/>
        </w:rPr>
        <w:t>.</w:t>
      </w:r>
      <w:r>
        <w:rPr>
          <w:rFonts w:ascii="Times New Roman" w:eastAsia="仿宋" w:cs="Times New Roman" w:hAnsi="Times New Roman"/>
          <w:b w:val="0"/>
          <w:bCs/>
          <w:sz w:val="32"/>
        </w:rPr>
        <w:t>公共安全支出（类）司法（款）公共法律服务（项）:</w:t>
      </w:r>
      <w:r>
        <w:rPr>
          <w:rFonts w:ascii="Times New Roman" w:eastAsia="仿宋" w:cs="Times New Roman" w:hAnsi="Times New Roman"/>
          <w:b w:val="0"/>
          <w:bCs/>
          <w:kern w:val="0"/>
          <w:sz w:val="32"/>
        </w:rPr>
        <w:t xml:space="preserve"> 支出决算为</w:t>
      </w:r>
      <w:r>
        <w:rPr>
          <w:rFonts w:ascii="Times New Roman" w:eastAsia="仿宋" w:cs="Times New Roman" w:hAnsi="Times New Roman"/>
          <w:b w:val="0"/>
          <w:bCs/>
          <w:kern w:val="0"/>
          <w:sz w:val="32"/>
          <w:lang w:val="en-US" w:eastAsia="zh-CN"/>
        </w:rPr>
        <w:t>101.3</w:t>
      </w:r>
      <w:r>
        <w:rPr>
          <w:rFonts w:ascii="Times New Roman" w:eastAsia="仿宋" w:cs="Times New Roman" w:hAnsi="Times New Roman"/>
          <w:b w:val="0"/>
          <w:bCs/>
          <w:kern w:val="0"/>
          <w:sz w:val="32"/>
        </w:rPr>
        <w:t>万元，完成预算100%，决算数等于预算数。</w:t>
      </w:r>
    </w:p>
    <w:p>
      <w:pPr>
        <w:spacing w:line="600" w:lineRule="exact"/>
        <w:ind w:firstLineChars="200" w:firstLine="640"/>
        <w:rPr>
          <w:rFonts w:ascii="Times New Roman" w:eastAsia="仿宋" w:cs="Times New Roman" w:hAnsi="Times New Roman"/>
          <w:b w:val="0"/>
          <w:bCs/>
          <w:color w:val="000000"/>
          <w:kern w:val="0"/>
          <w:sz w:val="32"/>
          <w:szCs w:val="32"/>
        </w:rPr>
      </w:pPr>
      <w:r>
        <w:rPr>
          <w:rFonts w:ascii="Times New Roman" w:eastAsia="仿宋" w:cs="Times New Roman" w:hAnsi="Times New Roman"/>
          <w:b w:val="0"/>
          <w:bCs/>
          <w:kern w:val="0"/>
          <w:sz w:val="32"/>
          <w:szCs w:val="32"/>
          <w:lang w:val="en-US" w:eastAsia="zh-CN"/>
        </w:rPr>
        <w:t>6</w:t>
      </w:r>
      <w:r>
        <w:rPr>
          <w:rFonts w:ascii="Times New Roman" w:eastAsia="仿宋" w:cs="Times New Roman" w:hAnsi="Times New Roman"/>
          <w:b w:val="0"/>
          <w:bCs/>
          <w:kern w:val="0"/>
          <w:sz w:val="32"/>
          <w:szCs w:val="32"/>
        </w:rPr>
        <w:t>.</w:t>
      </w:r>
      <w:r>
        <w:rPr>
          <w:rFonts w:ascii="Times New Roman" w:eastAsia="仿宋" w:cs="Times New Roman" w:hAnsi="Times New Roman"/>
          <w:b w:val="0"/>
          <w:bCs/>
          <w:sz w:val="32"/>
          <w:szCs w:val="32"/>
        </w:rPr>
        <w:t>公共安全支出（类）司法（款）事业运行（项）:</w:t>
      </w:r>
      <w:r>
        <w:rPr>
          <w:rFonts w:ascii="Times New Roman" w:eastAsia="仿宋" w:cs="Times New Roman" w:hAnsi="Times New Roman"/>
          <w:b w:val="0"/>
          <w:bCs/>
          <w:kern w:val="0"/>
          <w:sz w:val="32"/>
          <w:szCs w:val="32"/>
        </w:rPr>
        <w:t>支出决算为</w:t>
      </w:r>
      <w:r>
        <w:rPr>
          <w:rFonts w:ascii="Times New Roman" w:eastAsia="仿宋" w:cs="Times New Roman" w:hAnsi="Times New Roman"/>
          <w:b w:val="0"/>
          <w:bCs/>
          <w:kern w:val="0"/>
          <w:sz w:val="32"/>
          <w:szCs w:val="32"/>
          <w:lang w:val="en-US" w:eastAsia="zh-CN"/>
        </w:rPr>
        <w:t>50.37</w:t>
      </w:r>
      <w:r>
        <w:rPr>
          <w:rFonts w:ascii="Times New Roman" w:eastAsia="仿宋" w:cs="Times New Roman" w:hAnsi="Times New Roman"/>
          <w:b w:val="0"/>
          <w:bCs/>
          <w:kern w:val="0"/>
          <w:sz w:val="32"/>
          <w:szCs w:val="32"/>
        </w:rPr>
        <w:t>万元，完成预算100%，决算数等于预算数。</w:t>
      </w:r>
    </w:p>
    <w:p>
      <w:pPr>
        <w:spacing w:line="600" w:lineRule="exact"/>
        <w:ind w:firstLineChars="200" w:firstLine="640"/>
        <w:rPr>
          <w:rFonts w:ascii="Times New Roman" w:eastAsia="仿宋" w:cs="Times New Roman" w:hAnsi="Times New Roman"/>
          <w:b w:val="0"/>
          <w:bCs/>
          <w:kern w:val="0"/>
          <w:sz w:val="32"/>
          <w:szCs w:val="32"/>
        </w:rPr>
      </w:pPr>
      <w:r>
        <w:rPr>
          <w:rFonts w:ascii="Times New Roman" w:eastAsia="仿宋" w:cs="Times New Roman" w:hAnsi="Times New Roman"/>
          <w:b w:val="0"/>
          <w:bCs/>
          <w:kern w:val="0"/>
          <w:sz w:val="32"/>
          <w:szCs w:val="32"/>
          <w:lang w:val="en-US" w:eastAsia="zh-CN"/>
        </w:rPr>
        <w:t>7</w:t>
      </w:r>
      <w:r>
        <w:rPr>
          <w:rFonts w:ascii="Times New Roman" w:eastAsia="仿宋" w:cs="Times New Roman" w:hAnsi="Times New Roman"/>
          <w:b w:val="0"/>
          <w:bCs/>
          <w:kern w:val="0"/>
          <w:sz w:val="32"/>
          <w:szCs w:val="32"/>
        </w:rPr>
        <w:t>.</w:t>
      </w:r>
      <w:r>
        <w:rPr>
          <w:rFonts w:ascii="Times New Roman" w:eastAsia="仿宋" w:cs="Times New Roman" w:hAnsi="Times New Roman"/>
          <w:b w:val="0"/>
          <w:bCs/>
          <w:sz w:val="32"/>
          <w:szCs w:val="32"/>
        </w:rPr>
        <w:t>公共安全支出（类）司法（款）其他司法支出（项）:</w:t>
      </w:r>
      <w:r>
        <w:rPr>
          <w:rFonts w:ascii="Times New Roman" w:eastAsia="仿宋" w:cs="Times New Roman" w:hAnsi="Times New Roman"/>
          <w:b w:val="0"/>
          <w:bCs/>
          <w:kern w:val="0"/>
          <w:sz w:val="32"/>
          <w:szCs w:val="32"/>
        </w:rPr>
        <w:t>支出决算为</w:t>
      </w:r>
      <w:r>
        <w:rPr>
          <w:rFonts w:ascii="Times New Roman" w:eastAsia="仿宋" w:cs="Times New Roman" w:hAnsi="Times New Roman"/>
          <w:b w:val="0"/>
          <w:bCs/>
          <w:kern w:val="0"/>
          <w:sz w:val="32"/>
          <w:szCs w:val="32"/>
          <w:lang w:val="en-US" w:eastAsia="zh-CN"/>
        </w:rPr>
        <w:t>142.37</w:t>
      </w:r>
      <w:r>
        <w:rPr>
          <w:rFonts w:ascii="Times New Roman" w:eastAsia="仿宋" w:cs="Times New Roman" w:hAnsi="Times New Roman"/>
          <w:b w:val="0"/>
          <w:bCs/>
          <w:kern w:val="0"/>
          <w:sz w:val="32"/>
          <w:szCs w:val="32"/>
        </w:rPr>
        <w:t>万元，完成预算100%，决算数等于预算数。</w:t>
      </w:r>
    </w:p>
    <w:p>
      <w:pPr>
        <w:spacing w:line="600" w:lineRule="exact"/>
        <w:ind w:firstLineChars="200" w:firstLine="640"/>
        <w:rPr>
          <w:rFonts w:ascii="Times New Roman" w:eastAsia="仿宋" w:cs="Times New Roman" w:hAnsi="Times New Roman"/>
          <w:b w:val="0"/>
          <w:bCs/>
          <w:kern w:val="0"/>
          <w:sz w:val="32"/>
          <w:szCs w:val="32"/>
        </w:rPr>
      </w:pPr>
      <w:r>
        <w:rPr>
          <w:rFonts w:ascii="Times New Roman" w:eastAsia="仿宋" w:cs="Times New Roman" w:hAnsi="Times New Roman"/>
          <w:b w:val="0"/>
          <w:bCs/>
          <w:kern w:val="0"/>
          <w:sz w:val="32"/>
          <w:szCs w:val="32"/>
          <w:lang w:val="en-US" w:eastAsia="zh-CN"/>
        </w:rPr>
        <w:t>8</w:t>
      </w:r>
      <w:r>
        <w:rPr>
          <w:rFonts w:ascii="Times New Roman" w:eastAsia="仿宋" w:cs="Times New Roman" w:hAnsi="Times New Roman"/>
          <w:b w:val="0"/>
          <w:bCs/>
          <w:kern w:val="0"/>
          <w:sz w:val="32"/>
          <w:szCs w:val="32"/>
        </w:rPr>
        <w:t>.</w:t>
      </w:r>
      <w:r>
        <w:rPr>
          <w:rFonts w:ascii="Times New Roman" w:eastAsia="仿宋" w:cs="Times New Roman" w:hAnsi="Times New Roman"/>
          <w:b w:val="0"/>
          <w:bCs/>
          <w:sz w:val="32"/>
          <w:szCs w:val="32"/>
        </w:rPr>
        <w:t>社会保障和就业</w:t>
      </w:r>
      <w:r>
        <w:rPr>
          <w:rFonts w:ascii="Times New Roman" w:eastAsia="仿宋" w:cs="Times New Roman" w:hAnsi="Times New Roman"/>
          <w:b w:val="0"/>
          <w:bCs/>
          <w:sz w:val="32"/>
          <w:szCs w:val="32"/>
          <w:lang w:eastAsia="zh-CN"/>
        </w:rPr>
        <w:t>支出</w:t>
      </w:r>
      <w:r>
        <w:rPr>
          <w:rFonts w:ascii="Times New Roman" w:eastAsia="仿宋" w:cs="Times New Roman" w:hAnsi="Times New Roman"/>
          <w:b w:val="0"/>
          <w:bCs/>
          <w:sz w:val="32"/>
          <w:szCs w:val="32"/>
        </w:rPr>
        <w:t>（类）</w:t>
      </w:r>
      <w:r>
        <w:rPr>
          <w:rFonts w:ascii="Times New Roman" w:eastAsia="仿宋" w:cs="Times New Roman" w:hAnsi="Times New Roman"/>
          <w:b w:val="0"/>
          <w:bCs/>
          <w:sz w:val="32"/>
          <w:szCs w:val="32"/>
          <w:lang w:eastAsia="zh-CN"/>
        </w:rPr>
        <w:t>人力资源和社会保障管理事务</w:t>
      </w:r>
      <w:r>
        <w:rPr>
          <w:rFonts w:ascii="Times New Roman" w:eastAsia="仿宋" w:cs="Times New Roman" w:hAnsi="Times New Roman"/>
          <w:b w:val="0"/>
          <w:bCs/>
          <w:sz w:val="32"/>
          <w:szCs w:val="32"/>
        </w:rPr>
        <w:t>（款）</w:t>
      </w:r>
      <w:r>
        <w:rPr>
          <w:rFonts w:ascii="Times New Roman" w:eastAsia="仿宋" w:cs="Times New Roman" w:hAnsi="Times New Roman"/>
          <w:b w:val="0"/>
          <w:bCs/>
          <w:sz w:val="32"/>
          <w:szCs w:val="32"/>
          <w:lang w:eastAsia="zh-CN"/>
        </w:rPr>
        <w:t>其他人力资源和社会保障管理事务支出</w:t>
      </w:r>
      <w:r>
        <w:rPr>
          <w:rFonts w:ascii="Times New Roman" w:eastAsia="仿宋" w:cs="Times New Roman" w:hAnsi="Times New Roman"/>
          <w:b w:val="0"/>
          <w:bCs/>
          <w:sz w:val="32"/>
          <w:szCs w:val="32"/>
        </w:rPr>
        <w:t>（项）:支出决算为</w:t>
      </w:r>
      <w:r>
        <w:rPr>
          <w:rFonts w:ascii="Times New Roman" w:eastAsia="仿宋" w:cs="Times New Roman" w:hAnsi="Times New Roman"/>
          <w:b w:val="0"/>
          <w:bCs/>
          <w:sz w:val="32"/>
          <w:szCs w:val="32"/>
          <w:lang w:val="en-US" w:eastAsia="zh-CN"/>
        </w:rPr>
        <w:t>8</w:t>
      </w:r>
      <w:r>
        <w:rPr>
          <w:rFonts w:ascii="Times New Roman" w:eastAsia="仿宋" w:cs="Times New Roman" w:hAnsi="Times New Roman"/>
          <w:b w:val="0"/>
          <w:bCs/>
          <w:sz w:val="32"/>
          <w:szCs w:val="32"/>
        </w:rPr>
        <w:t>万元，完成预算100%，决算数等于预算数。</w:t>
      </w:r>
    </w:p>
    <w:p>
      <w:pPr>
        <w:spacing w:line="600" w:lineRule="exact"/>
        <w:ind w:firstLineChars="200" w:firstLine="640"/>
        <w:rPr>
          <w:rFonts w:ascii="Times New Roman" w:eastAsia="仿宋" w:cs="Times New Roman" w:hAnsi="Times New Roman"/>
          <w:b w:val="0"/>
          <w:bCs/>
          <w:kern w:val="0"/>
          <w:sz w:val="32"/>
          <w:szCs w:val="32"/>
        </w:rPr>
      </w:pPr>
      <w:r>
        <w:rPr>
          <w:rFonts w:ascii="Times New Roman" w:eastAsia="仿宋" w:cs="Times New Roman" w:hAnsi="Times New Roman"/>
          <w:b w:val="0"/>
          <w:bCs/>
          <w:kern w:val="0"/>
          <w:sz w:val="32"/>
          <w:szCs w:val="32"/>
          <w:lang w:val="en-US" w:eastAsia="zh-CN"/>
        </w:rPr>
        <w:t>9</w:t>
      </w:r>
      <w:r>
        <w:rPr>
          <w:rFonts w:ascii="Times New Roman" w:eastAsia="仿宋" w:cs="Times New Roman" w:hAnsi="Times New Roman"/>
          <w:b w:val="0"/>
          <w:bCs/>
          <w:kern w:val="0"/>
          <w:sz w:val="32"/>
          <w:szCs w:val="32"/>
        </w:rPr>
        <w:t>.</w:t>
      </w:r>
      <w:r>
        <w:rPr>
          <w:rFonts w:ascii="Times New Roman" w:eastAsia="仿宋" w:cs="Times New Roman" w:hAnsi="Times New Roman"/>
          <w:b w:val="0"/>
          <w:bCs/>
          <w:sz w:val="32"/>
          <w:szCs w:val="32"/>
        </w:rPr>
        <w:t>社会保障和就业</w:t>
      </w:r>
      <w:r>
        <w:rPr>
          <w:rFonts w:ascii="Times New Roman" w:eastAsia="仿宋" w:cs="Times New Roman" w:hAnsi="Times New Roman"/>
          <w:b w:val="0"/>
          <w:bCs/>
          <w:sz w:val="32"/>
          <w:szCs w:val="32"/>
          <w:lang w:eastAsia="zh-CN"/>
        </w:rPr>
        <w:t>支出</w:t>
      </w:r>
      <w:r>
        <w:rPr>
          <w:rFonts w:ascii="Times New Roman" w:eastAsia="仿宋" w:cs="Times New Roman" w:hAnsi="Times New Roman"/>
          <w:b w:val="0"/>
          <w:bCs/>
          <w:sz w:val="32"/>
          <w:szCs w:val="32"/>
        </w:rPr>
        <w:t>（类）行政事业单位养老支出（款）行政单位离退休（项）:支出决算为</w:t>
      </w:r>
      <w:r>
        <w:rPr>
          <w:rFonts w:ascii="Times New Roman" w:eastAsia="仿宋" w:cs="Times New Roman" w:hAnsi="Times New Roman"/>
          <w:b w:val="0"/>
          <w:bCs/>
          <w:sz w:val="32"/>
          <w:szCs w:val="32"/>
          <w:lang w:val="en-US" w:eastAsia="zh-CN"/>
        </w:rPr>
        <w:t>163.36</w:t>
      </w:r>
      <w:r>
        <w:rPr>
          <w:rFonts w:ascii="Times New Roman" w:eastAsia="仿宋" w:cs="Times New Roman" w:hAnsi="Times New Roman"/>
          <w:b w:val="0"/>
          <w:bCs/>
          <w:sz w:val="32"/>
          <w:szCs w:val="32"/>
        </w:rPr>
        <w:t>万元，完成预算100%，决算数等于预算数。</w:t>
      </w:r>
    </w:p>
    <w:p>
      <w:pPr>
        <w:pStyle w:val="16"/>
        <w:spacing w:beforeLines="0" w:before="93"/>
        <w:rPr>
          <w:rFonts w:ascii="Times New Roman" w:eastAsia="仿宋" w:cs="Times New Roman" w:hAnsi="Times New Roman"/>
          <w:b w:val="0"/>
          <w:bCs/>
          <w:sz w:val="32"/>
          <w:szCs w:val="32"/>
        </w:rPr>
      </w:pPr>
      <w:r>
        <w:rPr>
          <w:rFonts w:ascii="Times New Roman" w:eastAsia="仿宋" w:cs="Times New Roman" w:hAnsi="Times New Roman"/>
          <w:b w:val="0"/>
          <w:bCs/>
        </w:rPr>
        <w:t xml:space="preserve"> </w:t>
      </w:r>
      <w:r>
        <w:rPr>
          <w:rFonts w:ascii="Times New Roman" w:eastAsia="仿宋" w:cs="Times New Roman" w:hAnsi="Times New Roman"/>
          <w:b w:val="0"/>
          <w:bCs/>
          <w:sz w:val="32"/>
          <w:szCs w:val="32"/>
        </w:rPr>
        <w:t xml:space="preserve">   </w:t>
      </w:r>
      <w:r>
        <w:rPr>
          <w:rFonts w:ascii="Times New Roman" w:eastAsia="仿宋" w:cs="Times New Roman" w:hAnsi="Times New Roman"/>
          <w:b w:val="0"/>
          <w:bCs/>
          <w:sz w:val="32"/>
          <w:szCs w:val="32"/>
          <w:lang w:val="en-US" w:eastAsia="zh-CN"/>
        </w:rPr>
        <w:t>10</w:t>
      </w:r>
      <w:r>
        <w:rPr>
          <w:rFonts w:ascii="Times New Roman" w:eastAsia="仿宋" w:cs="Times New Roman" w:hAnsi="Times New Roman"/>
          <w:b w:val="0"/>
          <w:bCs/>
          <w:sz w:val="32"/>
          <w:szCs w:val="32"/>
        </w:rPr>
        <w:t>.</w:t>
      </w:r>
      <w:r>
        <w:rPr>
          <w:rFonts w:ascii="Times New Roman" w:eastAsia="仿宋" w:cs="Times New Roman" w:hAnsi="Times New Roman"/>
          <w:b w:val="0"/>
          <w:bCs/>
          <w:kern w:val="0"/>
          <w:sz w:val="32"/>
          <w:szCs w:val="32"/>
        </w:rPr>
        <w:t>社会保障和就业</w:t>
      </w:r>
      <w:r>
        <w:rPr>
          <w:rFonts w:ascii="Times New Roman" w:eastAsia="仿宋" w:cs="Times New Roman" w:hAnsi="Times New Roman"/>
          <w:b w:val="0"/>
          <w:bCs/>
          <w:sz w:val="32"/>
          <w:szCs w:val="32"/>
          <w:lang w:eastAsia="zh-CN"/>
        </w:rPr>
        <w:t>支出</w:t>
      </w:r>
      <w:r>
        <w:rPr>
          <w:rFonts w:ascii="Times New Roman" w:eastAsia="仿宋" w:cs="Times New Roman" w:hAnsi="Times New Roman"/>
          <w:b w:val="0"/>
          <w:bCs/>
          <w:kern w:val="0"/>
          <w:sz w:val="32"/>
          <w:szCs w:val="32"/>
        </w:rPr>
        <w:t>（类）行政事业单位养老支出（款）事业单位离退休（项）:支出决算为</w:t>
      </w:r>
      <w:r>
        <w:rPr>
          <w:rFonts w:ascii="Times New Roman" w:eastAsia="仿宋" w:cs="Times New Roman" w:hAnsi="Times New Roman"/>
          <w:b w:val="0"/>
          <w:bCs/>
          <w:kern w:val="0"/>
          <w:sz w:val="32"/>
          <w:szCs w:val="32"/>
          <w:lang w:val="en-US" w:eastAsia="zh-CN"/>
        </w:rPr>
        <w:t>31.37</w:t>
      </w:r>
      <w:r>
        <w:rPr>
          <w:rFonts w:ascii="Times New Roman" w:eastAsia="仿宋" w:cs="Times New Roman" w:hAnsi="Times New Roman"/>
          <w:b w:val="0"/>
          <w:bCs/>
          <w:kern w:val="0"/>
          <w:sz w:val="32"/>
          <w:szCs w:val="32"/>
        </w:rPr>
        <w:t>万元，完成预算100%，决算数等于预算数。</w:t>
      </w:r>
    </w:p>
    <w:p>
      <w:pPr>
        <w:spacing w:line="600" w:lineRule="exact"/>
        <w:ind w:firstLineChars="200" w:firstLine="640"/>
        <w:rPr>
          <w:rFonts w:ascii="Times New Roman" w:cs="Times New Roman" w:hAnsi="Times New Roman"/>
          <w:b w:val="0"/>
          <w:bCs/>
        </w:rPr>
      </w:pPr>
      <w:r>
        <w:rPr>
          <w:rFonts w:ascii="Times New Roman" w:eastAsia="仿宋" w:cs="Times New Roman" w:hAnsi="Times New Roman"/>
          <w:b w:val="0"/>
          <w:bCs/>
          <w:kern w:val="0"/>
          <w:sz w:val="32"/>
          <w:szCs w:val="32"/>
          <w:lang w:val="en-US" w:eastAsia="zh-CN"/>
        </w:rPr>
        <w:t>11</w:t>
      </w:r>
      <w:r>
        <w:rPr>
          <w:rFonts w:ascii="Times New Roman" w:eastAsia="仿宋" w:cs="Times New Roman" w:hAnsi="Times New Roman"/>
          <w:b w:val="0"/>
          <w:bCs/>
          <w:kern w:val="0"/>
          <w:sz w:val="32"/>
          <w:szCs w:val="32"/>
        </w:rPr>
        <w:t>.社会保障和就业</w:t>
      </w:r>
      <w:r>
        <w:rPr>
          <w:rFonts w:ascii="Times New Roman" w:eastAsia="仿宋" w:cs="Times New Roman" w:hAnsi="Times New Roman"/>
          <w:b w:val="0"/>
          <w:bCs/>
          <w:sz w:val="32"/>
          <w:szCs w:val="32"/>
          <w:lang w:eastAsia="zh-CN"/>
        </w:rPr>
        <w:t>支出</w:t>
      </w:r>
      <w:r>
        <w:rPr>
          <w:rFonts w:ascii="Times New Roman" w:eastAsia="仿宋" w:cs="Times New Roman" w:hAnsi="Times New Roman"/>
          <w:b w:val="0"/>
          <w:bCs/>
          <w:kern w:val="0"/>
          <w:sz w:val="32"/>
          <w:szCs w:val="32"/>
        </w:rPr>
        <w:t>（类）行政事业单位养老支出（款）机关事业单位基本养老保险缴费支出（项）:支出决算为</w:t>
      </w:r>
      <w:r>
        <w:rPr>
          <w:rFonts w:ascii="Times New Roman" w:eastAsia="仿宋" w:cs="Times New Roman" w:hAnsi="Times New Roman"/>
          <w:b w:val="0"/>
          <w:bCs/>
          <w:kern w:val="0"/>
          <w:sz w:val="32"/>
          <w:szCs w:val="32"/>
          <w:lang w:val="en-US" w:eastAsia="zh-CN"/>
        </w:rPr>
        <w:t>147.28</w:t>
      </w:r>
      <w:r>
        <w:rPr>
          <w:rFonts w:ascii="Times New Roman" w:eastAsia="仿宋" w:cs="Times New Roman" w:hAnsi="Times New Roman"/>
          <w:b w:val="0"/>
          <w:bCs/>
          <w:kern w:val="0"/>
          <w:sz w:val="32"/>
          <w:szCs w:val="32"/>
        </w:rPr>
        <w:t>万元，完成预算100%，决算数等于预算数。</w:t>
      </w:r>
    </w:p>
    <w:p>
      <w:pPr>
        <w:spacing w:line="600" w:lineRule="exact"/>
        <w:ind w:firstLineChars="200" w:firstLine="640"/>
        <w:rPr>
          <w:rFonts w:ascii="Times New Roman" w:eastAsia="仿宋" w:cs="Times New Roman" w:hAnsi="Times New Roman"/>
          <w:b w:val="0"/>
          <w:bCs/>
          <w:kern w:val="0"/>
          <w:sz w:val="32"/>
          <w:szCs w:val="32"/>
        </w:rPr>
      </w:pPr>
      <w:r>
        <w:rPr>
          <w:rFonts w:ascii="Times New Roman" w:eastAsia="仿宋" w:cs="Times New Roman" w:hAnsi="Times New Roman"/>
          <w:b w:val="0"/>
          <w:bCs/>
          <w:kern w:val="0"/>
          <w:sz w:val="32"/>
          <w:szCs w:val="32"/>
        </w:rPr>
        <w:t>1</w:t>
      </w:r>
      <w:r>
        <w:rPr>
          <w:rFonts w:ascii="Times New Roman" w:eastAsia="仿宋" w:cs="Times New Roman" w:hAnsi="Times New Roman"/>
          <w:b w:val="0"/>
          <w:bCs/>
          <w:kern w:val="0"/>
          <w:sz w:val="32"/>
          <w:szCs w:val="32"/>
          <w:lang w:val="en-US" w:eastAsia="zh-CN"/>
        </w:rPr>
        <w:t>2</w:t>
      </w:r>
      <w:r>
        <w:rPr>
          <w:rFonts w:ascii="Times New Roman" w:eastAsia="仿宋" w:cs="Times New Roman" w:hAnsi="Times New Roman"/>
          <w:b w:val="0"/>
          <w:bCs/>
          <w:kern w:val="0"/>
          <w:sz w:val="32"/>
          <w:szCs w:val="32"/>
        </w:rPr>
        <w:t>.社会保障和就业</w:t>
      </w:r>
      <w:r>
        <w:rPr>
          <w:rFonts w:ascii="Times New Roman" w:eastAsia="仿宋" w:cs="Times New Roman" w:hAnsi="Times New Roman"/>
          <w:b w:val="0"/>
          <w:bCs/>
          <w:sz w:val="32"/>
          <w:szCs w:val="32"/>
          <w:lang w:eastAsia="zh-CN"/>
        </w:rPr>
        <w:t>支出</w:t>
      </w:r>
      <w:r>
        <w:rPr>
          <w:rFonts w:ascii="Times New Roman" w:eastAsia="仿宋" w:cs="Times New Roman" w:hAnsi="Times New Roman"/>
          <w:b w:val="0"/>
          <w:bCs/>
          <w:kern w:val="0"/>
          <w:sz w:val="32"/>
          <w:szCs w:val="32"/>
        </w:rPr>
        <w:t>（类）行政事业单位养老支出（款）机关事业单位职业年金缴费支出（项）:支出决算为</w:t>
      </w:r>
      <w:r>
        <w:rPr>
          <w:rFonts w:ascii="Times New Roman" w:eastAsia="仿宋" w:cs="Times New Roman" w:hAnsi="Times New Roman"/>
          <w:b w:val="0"/>
          <w:bCs/>
          <w:kern w:val="0"/>
          <w:sz w:val="32"/>
          <w:szCs w:val="32"/>
          <w:lang w:val="en-US" w:eastAsia="zh-CN"/>
        </w:rPr>
        <w:t>7.27</w:t>
      </w:r>
      <w:r>
        <w:rPr>
          <w:rFonts w:ascii="Times New Roman" w:eastAsia="仿宋" w:cs="Times New Roman" w:hAnsi="Times New Roman"/>
          <w:b w:val="0"/>
          <w:bCs/>
          <w:kern w:val="0"/>
          <w:sz w:val="32"/>
          <w:szCs w:val="32"/>
        </w:rPr>
        <w:t>万元，完成预算100%，决算数等于预算数。</w:t>
      </w:r>
    </w:p>
    <w:p>
      <w:pPr>
        <w:pStyle w:val="16"/>
        <w:spacing w:beforeLines="0" w:before="93"/>
        <w:ind w:firstLineChars="200" w:firstLine="640"/>
        <w:rPr>
          <w:rFonts w:ascii="Times New Roman" w:eastAsia="仿宋" w:cs="Times New Roman" w:hAnsi="Times New Roman"/>
          <w:b w:val="0"/>
          <w:bCs/>
          <w:sz w:val="32"/>
          <w:szCs w:val="32"/>
        </w:rPr>
      </w:pPr>
      <w:r>
        <w:rPr>
          <w:rFonts w:ascii="Times New Roman" w:eastAsia="仿宋" w:cs="Times New Roman" w:hAnsi="Times New Roman"/>
          <w:b w:val="0"/>
          <w:bCs/>
          <w:sz w:val="32"/>
          <w:szCs w:val="32"/>
        </w:rPr>
        <w:t>1</w:t>
      </w:r>
      <w:r>
        <w:rPr>
          <w:rFonts w:ascii="Times New Roman" w:eastAsia="仿宋" w:cs="Times New Roman" w:hAnsi="Times New Roman"/>
          <w:b w:val="0"/>
          <w:bCs/>
          <w:sz w:val="32"/>
          <w:szCs w:val="32"/>
          <w:lang w:val="en-US" w:eastAsia="zh-CN"/>
        </w:rPr>
        <w:t>3</w:t>
      </w:r>
      <w:r>
        <w:rPr>
          <w:rFonts w:ascii="Times New Roman" w:eastAsia="仿宋" w:cs="Times New Roman" w:hAnsi="Times New Roman"/>
          <w:b w:val="0"/>
          <w:bCs/>
          <w:sz w:val="32"/>
          <w:szCs w:val="32"/>
        </w:rPr>
        <w:t>.</w:t>
      </w:r>
      <w:r>
        <w:rPr>
          <w:rFonts w:ascii="Times New Roman" w:eastAsia="仿宋" w:cs="Times New Roman" w:hAnsi="Times New Roman"/>
          <w:b w:val="0"/>
          <w:bCs/>
          <w:kern w:val="0"/>
          <w:sz w:val="32"/>
          <w:szCs w:val="32"/>
        </w:rPr>
        <w:t>社会保障和就业</w:t>
      </w:r>
      <w:r>
        <w:rPr>
          <w:rFonts w:ascii="Times New Roman" w:eastAsia="仿宋" w:cs="Times New Roman" w:hAnsi="Times New Roman"/>
          <w:b w:val="0"/>
          <w:bCs/>
          <w:kern w:val="0"/>
          <w:sz w:val="32"/>
          <w:szCs w:val="32"/>
          <w:lang w:eastAsia="zh-CN"/>
        </w:rPr>
        <w:t>支出</w:t>
      </w:r>
      <w:r>
        <w:rPr>
          <w:rFonts w:ascii="Times New Roman" w:eastAsia="仿宋" w:cs="Times New Roman" w:hAnsi="Times New Roman"/>
          <w:b w:val="0"/>
          <w:bCs/>
          <w:kern w:val="0"/>
          <w:sz w:val="32"/>
          <w:szCs w:val="32"/>
        </w:rPr>
        <w:t>（类）</w:t>
      </w:r>
      <w:r>
        <w:rPr>
          <w:rFonts w:ascii="Times New Roman" w:eastAsia="仿宋" w:cs="Times New Roman" w:hAnsi="Times New Roman"/>
          <w:b w:val="0"/>
          <w:bCs/>
          <w:kern w:val="0"/>
          <w:sz w:val="32"/>
          <w:szCs w:val="32"/>
          <w:lang w:val="en-US" w:eastAsia="zh-CN"/>
        </w:rPr>
        <w:t>社会福利</w:t>
      </w:r>
      <w:r>
        <w:rPr>
          <w:rFonts w:ascii="Times New Roman" w:eastAsia="仿宋" w:cs="Times New Roman" w:hAnsi="Times New Roman"/>
          <w:b w:val="0"/>
          <w:bCs/>
          <w:kern w:val="0"/>
          <w:sz w:val="32"/>
          <w:szCs w:val="32"/>
        </w:rPr>
        <w:t>（款）</w:t>
      </w:r>
      <w:r>
        <w:rPr>
          <w:rFonts w:ascii="Times New Roman" w:eastAsia="仿宋" w:cs="Times New Roman" w:hAnsi="Times New Roman"/>
          <w:b w:val="0"/>
          <w:bCs/>
          <w:kern w:val="0"/>
          <w:sz w:val="32"/>
          <w:szCs w:val="32"/>
          <w:lang w:val="en-US" w:eastAsia="zh-CN"/>
        </w:rPr>
        <w:t>儿童福利</w:t>
      </w:r>
      <w:r>
        <w:rPr>
          <w:rFonts w:ascii="Times New Roman" w:eastAsia="仿宋" w:cs="Times New Roman" w:hAnsi="Times New Roman"/>
          <w:b w:val="0"/>
          <w:bCs/>
          <w:kern w:val="0"/>
          <w:sz w:val="32"/>
          <w:szCs w:val="32"/>
        </w:rPr>
        <w:t>（项）:支出决算为</w:t>
      </w:r>
      <w:r>
        <w:rPr>
          <w:rFonts w:ascii="Times New Roman" w:eastAsia="仿宋" w:cs="Times New Roman" w:hAnsi="Times New Roman"/>
          <w:b w:val="0"/>
          <w:bCs/>
          <w:kern w:val="0"/>
          <w:sz w:val="32"/>
          <w:szCs w:val="32"/>
          <w:lang w:val="en-US" w:eastAsia="zh-CN"/>
        </w:rPr>
        <w:t>1.09</w:t>
      </w:r>
      <w:r>
        <w:rPr>
          <w:rFonts w:ascii="Times New Roman" w:eastAsia="仿宋" w:cs="Times New Roman" w:hAnsi="Times New Roman"/>
          <w:b w:val="0"/>
          <w:bCs/>
          <w:kern w:val="0"/>
          <w:sz w:val="32"/>
          <w:szCs w:val="32"/>
        </w:rPr>
        <w:t>万元，完成预算100%，决算数等于预算数。</w:t>
      </w:r>
    </w:p>
    <w:p>
      <w:pPr>
        <w:spacing w:line="600" w:lineRule="exact"/>
        <w:ind w:firstLineChars="200" w:firstLine="640"/>
        <w:rPr>
          <w:rFonts w:ascii="Times New Roman" w:eastAsia="仿宋" w:cs="Times New Roman" w:hAnsi="Times New Roman"/>
          <w:b w:val="0"/>
          <w:bCs/>
          <w:kern w:val="0"/>
          <w:sz w:val="32"/>
          <w:szCs w:val="32"/>
        </w:rPr>
      </w:pPr>
      <w:r>
        <w:rPr>
          <w:rFonts w:ascii="Times New Roman" w:eastAsia="仿宋" w:cs="Times New Roman" w:hAnsi="Times New Roman"/>
          <w:b w:val="0"/>
          <w:bCs/>
          <w:kern w:val="0"/>
          <w:sz w:val="32"/>
          <w:szCs w:val="32"/>
        </w:rPr>
        <w:t>1</w:t>
      </w:r>
      <w:r>
        <w:rPr>
          <w:rFonts w:ascii="Times New Roman" w:eastAsia="仿宋" w:cs="Times New Roman" w:hAnsi="Times New Roman"/>
          <w:b w:val="0"/>
          <w:bCs/>
          <w:kern w:val="0"/>
          <w:sz w:val="32"/>
          <w:szCs w:val="32"/>
          <w:lang w:val="en-US" w:eastAsia="zh-CN"/>
        </w:rPr>
        <w:t>4</w:t>
      </w:r>
      <w:r>
        <w:rPr>
          <w:rFonts w:ascii="Times New Roman" w:eastAsia="仿宋" w:cs="Times New Roman" w:hAnsi="Times New Roman"/>
          <w:b w:val="0"/>
          <w:bCs/>
          <w:kern w:val="0"/>
          <w:sz w:val="32"/>
          <w:szCs w:val="32"/>
        </w:rPr>
        <w:t>.卫生健康支出（类）行政事业单位医疗（款）行政单位医疗（项）:支出决算为</w:t>
      </w:r>
      <w:r>
        <w:rPr>
          <w:rFonts w:ascii="Times New Roman" w:eastAsia="仿宋" w:cs="Times New Roman" w:hAnsi="Times New Roman"/>
          <w:b w:val="0"/>
          <w:bCs/>
          <w:kern w:val="0"/>
          <w:sz w:val="32"/>
          <w:szCs w:val="32"/>
          <w:lang w:val="en-US" w:eastAsia="zh-CN"/>
        </w:rPr>
        <w:t>83.93</w:t>
      </w:r>
      <w:r>
        <w:rPr>
          <w:rFonts w:ascii="Times New Roman" w:eastAsia="仿宋" w:cs="Times New Roman" w:hAnsi="Times New Roman"/>
          <w:b w:val="0"/>
          <w:bCs/>
          <w:kern w:val="0"/>
          <w:sz w:val="32"/>
          <w:szCs w:val="32"/>
        </w:rPr>
        <w:t>万元，完成预算100%，决算数等于预算数。</w:t>
      </w:r>
    </w:p>
    <w:p>
      <w:pPr>
        <w:spacing w:line="600" w:lineRule="exact"/>
        <w:ind w:firstLineChars="200" w:firstLine="640"/>
        <w:rPr>
          <w:rFonts w:ascii="Times New Roman" w:eastAsia="仿宋" w:cs="Times New Roman" w:hAnsi="Times New Roman"/>
          <w:b w:val="0"/>
          <w:bCs/>
          <w:kern w:val="0"/>
          <w:sz w:val="32"/>
          <w:szCs w:val="32"/>
        </w:rPr>
      </w:pPr>
      <w:r>
        <w:rPr>
          <w:rFonts w:ascii="Times New Roman" w:eastAsia="仿宋" w:cs="Times New Roman" w:hAnsi="Times New Roman"/>
          <w:b w:val="0"/>
          <w:bCs/>
          <w:kern w:val="0"/>
          <w:sz w:val="32"/>
          <w:szCs w:val="32"/>
        </w:rPr>
        <w:t>1</w:t>
      </w:r>
      <w:r>
        <w:rPr>
          <w:rFonts w:ascii="Times New Roman" w:eastAsia="仿宋" w:cs="Times New Roman" w:hAnsi="Times New Roman"/>
          <w:b w:val="0"/>
          <w:bCs/>
          <w:kern w:val="0"/>
          <w:sz w:val="32"/>
          <w:szCs w:val="32"/>
          <w:lang w:val="en-US" w:eastAsia="zh-CN"/>
        </w:rPr>
        <w:t>5</w:t>
      </w:r>
      <w:r>
        <w:rPr>
          <w:rFonts w:ascii="Times New Roman" w:eastAsia="仿宋" w:cs="Times New Roman" w:hAnsi="Times New Roman"/>
          <w:b w:val="0"/>
          <w:bCs/>
          <w:kern w:val="0"/>
          <w:sz w:val="32"/>
          <w:szCs w:val="32"/>
        </w:rPr>
        <w:t>.卫生健康支出（类）行政事业单位医疗（款）事业单位医疗（项）:支出决算为</w:t>
      </w:r>
      <w:r>
        <w:rPr>
          <w:rFonts w:ascii="Times New Roman" w:eastAsia="仿宋" w:cs="Times New Roman" w:hAnsi="Times New Roman"/>
          <w:b w:val="0"/>
          <w:bCs/>
          <w:kern w:val="0"/>
          <w:sz w:val="32"/>
          <w:szCs w:val="32"/>
          <w:lang w:val="en-US" w:eastAsia="zh-CN"/>
        </w:rPr>
        <w:t>3.46</w:t>
      </w:r>
      <w:r>
        <w:rPr>
          <w:rFonts w:ascii="Times New Roman" w:eastAsia="仿宋" w:cs="Times New Roman" w:hAnsi="Times New Roman"/>
          <w:b w:val="0"/>
          <w:bCs/>
          <w:kern w:val="0"/>
          <w:sz w:val="32"/>
          <w:szCs w:val="32"/>
        </w:rPr>
        <w:t>万元，完成预算100%，决算数等于预算数。</w:t>
      </w:r>
    </w:p>
    <w:p>
      <w:pPr>
        <w:spacing w:line="600" w:lineRule="exact"/>
        <w:ind w:firstLineChars="200" w:firstLine="640"/>
        <w:rPr>
          <w:rFonts w:ascii="Times New Roman" w:eastAsia="仿宋" w:cs="Times New Roman" w:hAnsi="Times New Roman"/>
          <w:b w:val="0"/>
          <w:bCs/>
          <w:kern w:val="0"/>
          <w:sz w:val="32"/>
          <w:szCs w:val="32"/>
        </w:rPr>
      </w:pPr>
      <w:r>
        <w:rPr>
          <w:rFonts w:ascii="Times New Roman" w:eastAsia="仿宋" w:cs="Times New Roman" w:hAnsi="Times New Roman"/>
          <w:b w:val="0"/>
          <w:bCs/>
          <w:kern w:val="0"/>
          <w:sz w:val="32"/>
          <w:szCs w:val="32"/>
        </w:rPr>
        <w:t>1</w:t>
      </w:r>
      <w:r>
        <w:rPr>
          <w:rFonts w:ascii="Times New Roman" w:eastAsia="仿宋" w:cs="Times New Roman" w:hAnsi="Times New Roman"/>
          <w:b w:val="0"/>
          <w:bCs/>
          <w:kern w:val="0"/>
          <w:sz w:val="32"/>
          <w:szCs w:val="32"/>
          <w:lang w:val="en-US" w:eastAsia="zh-CN"/>
        </w:rPr>
        <w:t>6</w:t>
      </w:r>
      <w:r>
        <w:rPr>
          <w:rFonts w:ascii="Times New Roman" w:eastAsia="仿宋" w:cs="Times New Roman" w:hAnsi="Times New Roman"/>
          <w:b w:val="0"/>
          <w:bCs/>
          <w:kern w:val="0"/>
          <w:sz w:val="32"/>
          <w:szCs w:val="32"/>
        </w:rPr>
        <w:t>.卫生健康支出（类）行政事业单位医疗（款）公务员医疗补助（项）:支出决算为</w:t>
      </w:r>
      <w:r>
        <w:rPr>
          <w:rFonts w:ascii="Times New Roman" w:eastAsia="仿宋" w:cs="Times New Roman" w:hAnsi="Times New Roman"/>
          <w:b w:val="0"/>
          <w:bCs/>
          <w:kern w:val="0"/>
          <w:sz w:val="32"/>
          <w:szCs w:val="32"/>
          <w:lang w:val="en-US" w:eastAsia="zh-CN"/>
        </w:rPr>
        <w:t>8.54</w:t>
      </w:r>
      <w:r>
        <w:rPr>
          <w:rFonts w:ascii="Times New Roman" w:eastAsia="仿宋" w:cs="Times New Roman" w:hAnsi="Times New Roman"/>
          <w:b w:val="0"/>
          <w:bCs/>
          <w:kern w:val="0"/>
          <w:sz w:val="32"/>
          <w:szCs w:val="32"/>
        </w:rPr>
        <w:t>万元，完成预算100%，决算数等于预算数。</w:t>
      </w:r>
    </w:p>
    <w:p>
      <w:pPr>
        <w:spacing w:line="600" w:lineRule="exact"/>
        <w:ind w:firstLineChars="200" w:firstLine="640"/>
        <w:rPr>
          <w:rFonts w:ascii="Times New Roman" w:eastAsia="仿宋" w:cs="Times New Roman" w:hAnsi="Times New Roman"/>
          <w:b w:val="0"/>
          <w:bCs/>
          <w:kern w:val="0"/>
          <w:sz w:val="32"/>
          <w:szCs w:val="32"/>
        </w:rPr>
      </w:pPr>
      <w:r>
        <w:rPr>
          <w:rFonts w:ascii="Times New Roman" w:eastAsia="仿宋" w:cs="Times New Roman" w:hAnsi="Times New Roman"/>
          <w:b w:val="0"/>
          <w:bCs/>
          <w:kern w:val="0"/>
          <w:sz w:val="32"/>
          <w:szCs w:val="32"/>
        </w:rPr>
        <w:t>17.卫生健康支出（类）其他卫生健康支出（款）其他卫生健康支出（项）:支出决算为</w:t>
      </w:r>
      <w:r>
        <w:rPr>
          <w:rFonts w:ascii="Times New Roman" w:eastAsia="仿宋" w:cs="Times New Roman" w:hAnsi="Times New Roman"/>
          <w:b w:val="0"/>
          <w:bCs/>
          <w:kern w:val="0"/>
          <w:sz w:val="32"/>
          <w:szCs w:val="32"/>
          <w:lang w:val="en-US" w:eastAsia="zh-CN"/>
        </w:rPr>
        <w:t>0.36</w:t>
      </w:r>
      <w:r>
        <w:rPr>
          <w:rFonts w:ascii="Times New Roman" w:eastAsia="仿宋" w:cs="Times New Roman" w:hAnsi="Times New Roman"/>
          <w:b w:val="0"/>
          <w:bCs/>
          <w:kern w:val="0"/>
          <w:sz w:val="32"/>
          <w:szCs w:val="32"/>
        </w:rPr>
        <w:t>万元，完成预算100%，决算数等于预算数。</w:t>
      </w:r>
    </w:p>
    <w:p>
      <w:pPr>
        <w:spacing w:line="600" w:lineRule="exact"/>
        <w:ind w:firstLineChars="200" w:firstLine="640"/>
        <w:rPr>
          <w:rFonts w:ascii="Times New Roman" w:eastAsia="仿宋" w:cs="Times New Roman" w:hAnsi="Times New Roman"/>
          <w:b w:val="0"/>
          <w:bCs/>
          <w:sz w:val="32"/>
          <w:szCs w:val="32"/>
        </w:rPr>
      </w:pPr>
      <w:r>
        <w:rPr>
          <w:rFonts w:ascii="Times New Roman" w:eastAsia="仿宋" w:cs="Times New Roman" w:hAnsi="Times New Roman"/>
          <w:b w:val="0"/>
          <w:bCs/>
          <w:kern w:val="0"/>
          <w:sz w:val="32"/>
          <w:szCs w:val="32"/>
        </w:rPr>
        <w:t>18.</w:t>
      </w:r>
      <w:r>
        <w:rPr>
          <w:rFonts w:ascii="Times New Roman" w:eastAsia="仿宋" w:cs="Times New Roman" w:hAnsi="Times New Roman"/>
          <w:b w:val="0"/>
          <w:bCs/>
          <w:sz w:val="32"/>
          <w:szCs w:val="32"/>
        </w:rPr>
        <w:t>住房保障支出（类）住房改革支出（款）住房公积金（项）:支出决算为</w:t>
      </w:r>
      <w:r>
        <w:rPr>
          <w:rFonts w:ascii="Times New Roman" w:eastAsia="仿宋" w:cs="Times New Roman" w:hAnsi="Times New Roman"/>
          <w:b w:val="0"/>
          <w:bCs/>
          <w:sz w:val="32"/>
          <w:szCs w:val="32"/>
          <w:lang w:val="en-US" w:eastAsia="zh-CN"/>
        </w:rPr>
        <w:t>127.62</w:t>
      </w:r>
      <w:r>
        <w:rPr>
          <w:rFonts w:ascii="Times New Roman" w:eastAsia="仿宋" w:cs="Times New Roman" w:hAnsi="Times New Roman"/>
          <w:b w:val="0"/>
          <w:bCs/>
          <w:sz w:val="32"/>
          <w:szCs w:val="32"/>
        </w:rPr>
        <w:t>万元，完成预算100%，决算数等于预算数。</w:t>
      </w:r>
    </w:p>
    <w:p>
      <w:pPr>
        <w:spacing w:line="600" w:lineRule="exact"/>
        <w:ind w:firstLine="640"/>
        <w:rPr>
          <w:rFonts w:ascii="Times New Roman" w:eastAsia="仿宋_GB2312" w:cs="Times New Roman" w:hAnsi="Times New Roman"/>
          <w:sz w:val="32"/>
          <w:szCs w:val="32"/>
        </w:rPr>
      </w:pPr>
    </w:p>
    <w:p>
      <w:pPr>
        <w:tabs>
          <w:tab w:val="right" w:pos="8306"/>
        </w:tabs>
        <w:spacing w:line="600" w:lineRule="exact"/>
        <w:ind w:firstLine="640"/>
        <w:outlineLvl w:val="1"/>
        <w:rPr>
          <w:rStyle w:val="2Char"/>
          <w:rFonts w:ascii="Times New Roman" w:cs="Times New Roman" w:hAnsi="Times New Roman"/>
        </w:rPr>
      </w:pPr>
      <w:bookmarkStart w:id="79" w:name="_Toc15377214"/>
      <w:bookmarkStart w:id="80" w:name="_Toc15396608"/>
      <w:bookmarkStart w:id="81" w:name="_Toc1038215216_WPSOffice_Level2"/>
      <w:r>
        <w:rPr>
          <w:rFonts w:ascii="Times New Roman" w:eastAsia="黑体" w:cs="Times New Roman" w:hAnsi="Times New Roman"/>
          <w:color w:val="auto"/>
          <w:sz w:val="32"/>
          <w:szCs w:val="32"/>
        </w:rPr>
        <w:t>六</w:t>
      </w:r>
      <w:r>
        <w:rPr>
          <w:rFonts w:ascii="Times New Roman" w:eastAsia="黑体" w:cs="Times New Roman" w:hAnsi="Times New Roman"/>
          <w:b/>
          <w:color w:val="auto"/>
          <w:sz w:val="32"/>
          <w:szCs w:val="32"/>
        </w:rPr>
        <w:t>、一</w:t>
      </w:r>
      <w:r>
        <w:rPr>
          <w:rStyle w:val="2Char"/>
          <w:rFonts w:ascii="Times New Roman" w:eastAsia="黑体" w:cs="Times New Roman" w:hAnsi="Times New Roman"/>
          <w:b w:val="0"/>
          <w:color w:val="auto"/>
        </w:rPr>
        <w:t>般公共预算财政拨款基本支出决算情况说明</w:t>
      </w:r>
      <w:bookmarkEnd w:id="79"/>
      <w:bookmarkEnd w:id="80"/>
      <w:bookmarkEnd w:id="81"/>
      <w:r>
        <w:rPr>
          <w:rStyle w:val="2Char"/>
          <w:rFonts w:ascii="Times New Roman" w:eastAsia="黑体" w:cs="Times New Roman" w:hAnsi="Times New Roman"/>
          <w:b w:val="0"/>
        </w:rPr>
        <w:tab/>
      </w:r>
    </w:p>
    <w:p>
      <w:pPr>
        <w:spacing w:line="600" w:lineRule="exact"/>
        <w:ind w:firstLine="640"/>
        <w:rPr>
          <w:rFonts w:ascii="Times New Roman" w:eastAsia="仿宋_GB2312" w:cs="Times New Roman" w:hAnsi="Times New Roman"/>
          <w:color w:val="auto"/>
          <w:kern w:val="2"/>
          <w:sz w:val="32"/>
          <w:szCs w:val="32"/>
          <w:lang w:val="en-US" w:eastAsia="zh-CN" w:bidi="ar-SA"/>
          <w:highlight w:val="auto"/>
        </w:rPr>
      </w:pPr>
      <w:r>
        <w:rPr>
          <w:rFonts w:ascii="Times New Roman" w:eastAsia="仿宋_GB2312" w:cs="Times New Roman" w:hAnsi="Times New Roman"/>
          <w:color w:val="auto"/>
          <w:kern w:val="2"/>
          <w:sz w:val="32"/>
          <w:szCs w:val="32"/>
          <w:lang w:val="en-US" w:eastAsia="zh-CN" w:bidi="ar-SA"/>
          <w:highlight w:val="auto"/>
        </w:rPr>
        <w:t>2025年度一般公共预算财政拨款基本支出</w:t>
      </w:r>
      <w:r>
        <w:rPr>
          <w:rFonts w:ascii="Times New Roman" w:eastAsia="仿宋_GB2312" w:cs="Times New Roman" w:hAnsi="Times New Roman"/>
          <w:sz w:val="32"/>
          <w:szCs w:val="32"/>
        </w:rPr>
        <w:t>1983.35</w:t>
      </w:r>
      <w:r>
        <w:rPr>
          <w:rFonts w:ascii="Times New Roman" w:eastAsia="仿宋_GB2312" w:cs="Times New Roman" w:hAnsi="Times New Roman"/>
          <w:color w:val="auto"/>
          <w:kern w:val="2"/>
          <w:sz w:val="32"/>
          <w:szCs w:val="32"/>
          <w:lang w:val="en-US" w:eastAsia="zh-CN" w:bidi="ar-SA"/>
          <w:highlight w:val="auto"/>
        </w:rPr>
        <w:t>万元，其中：</w:t>
      </w:r>
    </w:p>
    <w:p>
      <w:pPr>
        <w:spacing w:line="600" w:lineRule="exact"/>
        <w:ind w:firstLine="640"/>
        <w:rPr>
          <w:rFonts w:ascii="Times New Roman" w:eastAsia="仿宋" w:cs="Times New Roman" w:hAnsi="Times New Roman"/>
          <w:sz w:val="32"/>
          <w:szCs w:val="32"/>
        </w:rPr>
      </w:pPr>
      <w:r>
        <w:rPr>
          <w:rFonts w:ascii="Times New Roman" w:eastAsia="仿宋_GB2312" w:cs="Times New Roman" w:hAnsi="Times New Roman"/>
          <w:color w:val="auto"/>
          <w:kern w:val="2"/>
          <w:sz w:val="32"/>
          <w:szCs w:val="32"/>
          <w:lang w:val="en-US" w:eastAsia="zh-CN" w:bidi="ar-SA"/>
          <w:highlight w:val="auto"/>
        </w:rPr>
        <w:t>人员经费</w:t>
      </w:r>
      <w:r>
        <w:rPr>
          <w:rFonts w:ascii="Times New Roman" w:eastAsia="仿宋_GB2312" w:cs="Times New Roman" w:hAnsi="Times New Roman"/>
          <w:sz w:val="32"/>
          <w:szCs w:val="32"/>
        </w:rPr>
        <w:t>1771.11</w:t>
      </w:r>
      <w:r>
        <w:rPr>
          <w:rFonts w:ascii="Times New Roman" w:eastAsia="仿宋_GB2312" w:cs="Times New Roman" w:hAnsi="Times New Roman"/>
          <w:color w:val="auto"/>
          <w:kern w:val="2"/>
          <w:sz w:val="32"/>
          <w:szCs w:val="32"/>
          <w:lang w:val="en-US" w:eastAsia="zh-CN" w:bidi="ar-SA"/>
          <w:highlight w:val="auto"/>
        </w:rPr>
        <w:t>万元，主要包括：基本工资、津贴补贴、奖金、绩效工资、机关事业单位基本养老保险缴费、职业年金缴费、其他社会保障缴费、其他工资福利支出、生活补助、医疗费补助、奖励金、住房公积金、其他对个人和家庭的补助支出等。</w:t>
      </w:r>
    </w:p>
    <w:p>
      <w:pPr>
        <w:spacing w:line="600" w:lineRule="exact"/>
        <w:ind w:firstLine="640"/>
        <w:rPr>
          <w:rFonts w:ascii="Times New Roman" w:eastAsia="仿宋_GB2312" w:cs="Times New Roman" w:hAnsi="Times New Roman"/>
          <w:color w:val="auto"/>
          <w:kern w:val="2"/>
          <w:sz w:val="32"/>
          <w:szCs w:val="32"/>
          <w:lang w:val="en-US" w:eastAsia="zh-CN" w:bidi="ar-SA"/>
          <w:highlight w:val="auto"/>
        </w:rPr>
      </w:pPr>
      <w:r>
        <w:rPr>
          <w:rFonts w:ascii="Times New Roman" w:eastAsia="仿宋_GB2312" w:cs="Times New Roman" w:hAnsi="Times New Roman"/>
          <w:color w:val="auto"/>
          <w:kern w:val="2"/>
          <w:sz w:val="32"/>
          <w:szCs w:val="32"/>
          <w:lang w:val="en-US" w:eastAsia="zh-CN" w:bidi="ar-SA"/>
          <w:highlight w:val="auto"/>
        </w:rPr>
        <w:t>公用经费</w:t>
      </w:r>
      <w:r>
        <w:rPr>
          <w:rFonts w:ascii="Times New Roman" w:eastAsia="仿宋_GB2312" w:cs="Times New Roman" w:hAnsi="Times New Roman"/>
          <w:sz w:val="32"/>
          <w:szCs w:val="32"/>
        </w:rPr>
        <w:t>212.24</w:t>
      </w:r>
      <w:r>
        <w:rPr>
          <w:rFonts w:ascii="Times New Roman" w:eastAsia="仿宋_GB2312" w:cs="Times New Roman" w:hAnsi="Times New Roman"/>
          <w:color w:val="auto"/>
          <w:kern w:val="2"/>
          <w:sz w:val="32"/>
          <w:szCs w:val="32"/>
          <w:lang w:val="en-US" w:eastAsia="zh-CN" w:bidi="ar-SA"/>
          <w:highlight w:val="auto"/>
        </w:rPr>
        <w:t>万元，主要包括：办公费、水费、电费、邮电费、物业管理费、差旅费、维修（护）费、租赁费、会议费、培训费、公务接待费、劳务费、委托业务费、工会经费、福利费、公务用车运行维护费、其他交通费、其他商品和服务支出等。</w:t>
      </w:r>
    </w:p>
    <w:p>
      <w:pPr>
        <w:spacing w:line="600" w:lineRule="exact"/>
        <w:ind w:firstLine="640"/>
        <w:outlineLvl w:val="1"/>
        <w:rPr>
          <w:rFonts w:ascii="Times New Roman" w:eastAsia="黑体" w:cs="Times New Roman" w:hAnsi="Times New Roman"/>
          <w:sz w:val="32"/>
          <w:szCs w:val="32"/>
        </w:rPr>
      </w:pPr>
      <w:bookmarkStart w:id="82" w:name="_Toc15377215"/>
      <w:bookmarkStart w:id="83" w:name="_Toc15396609"/>
    </w:p>
    <w:p>
      <w:pPr>
        <w:spacing w:line="600" w:lineRule="exact"/>
        <w:ind w:firstLine="640"/>
        <w:outlineLvl w:val="1"/>
        <w:rPr>
          <w:rStyle w:val="2Char"/>
          <w:rFonts w:ascii="Times New Roman" w:eastAsia="黑体" w:cs="Times New Roman" w:hAnsi="Times New Roman"/>
          <w:b w:val="0"/>
        </w:rPr>
      </w:pPr>
      <w:bookmarkStart w:id="84" w:name="_Toc1655537357_WPSOffice_Level2"/>
      <w:r>
        <w:rPr>
          <w:rFonts w:ascii="Times New Roman" w:eastAsia="黑体" w:cs="Times New Roman" w:hAnsi="Times New Roman"/>
          <w:sz w:val="32"/>
          <w:szCs w:val="32"/>
        </w:rPr>
        <w:t>七、</w:t>
      </w:r>
      <w:r>
        <w:rPr>
          <w:rStyle w:val="2Char"/>
          <w:rFonts w:ascii="Times New Roman" w:eastAsia="黑体" w:cs="Times New Roman" w:hAnsi="Times New Roman"/>
          <w:b w:val="0"/>
        </w:rPr>
        <w:t>财政拨款</w:t>
      </w:r>
      <w:r>
        <w:rPr>
          <w:rStyle w:val="2Char"/>
          <w:rFonts w:ascii="Times New Roman" w:eastAsia="黑体" w:cs="Times New Roman" w:hAnsi="Times New Roman"/>
        </w:rPr>
        <w:t>“</w:t>
      </w:r>
      <w:r>
        <w:rPr>
          <w:rStyle w:val="2Char"/>
          <w:rFonts w:ascii="Times New Roman" w:eastAsia="黑体" w:cs="Times New Roman" w:hAnsi="Times New Roman"/>
          <w:b w:val="0"/>
        </w:rPr>
        <w:t>三公”经费支出决算情况说明</w:t>
      </w:r>
      <w:bookmarkEnd w:id="82"/>
      <w:bookmarkEnd w:id="83"/>
      <w:bookmarkEnd w:id="84"/>
    </w:p>
    <w:p>
      <w:pPr>
        <w:spacing w:line="600" w:lineRule="exact"/>
        <w:ind w:firstLineChars="200" w:firstLine="640"/>
        <w:outlineLvl w:val="2"/>
        <w:rPr>
          <w:rFonts w:ascii="Times New Roman" w:eastAsia="楷体_GB2312" w:cs="Times New Roman" w:hAnsi="Times New Roman"/>
          <w:b/>
          <w:sz w:val="32"/>
          <w:szCs w:val="32"/>
        </w:rPr>
      </w:pPr>
      <w:bookmarkStart w:id="85" w:name="_Toc15377216"/>
      <w:r>
        <w:rPr>
          <w:rFonts w:ascii="Times New Roman" w:eastAsia="楷体_GB2312" w:cs="Times New Roman" w:hAnsi="Times New Roman"/>
          <w:b/>
          <w:sz w:val="32"/>
          <w:szCs w:val="32"/>
        </w:rPr>
        <w:t>（一）财政拨款“三公”经费支出决算总体情况说明</w:t>
      </w:r>
      <w:bookmarkEnd w:id="85"/>
    </w:p>
    <w:p>
      <w:pPr>
        <w:spacing w:line="600" w:lineRule="exact"/>
        <w:ind w:firstLine="640"/>
        <w:rPr>
          <w:rFonts w:ascii="Times New Roman" w:eastAsia="仿宋_GB2312" w:cs="Times New Roman" w:hAnsi="Times New Roman"/>
          <w:color w:val="auto"/>
          <w:kern w:val="2"/>
          <w:sz w:val="32"/>
          <w:szCs w:val="32"/>
          <w:lang w:val="en-US" w:eastAsia="zh-CN" w:bidi="ar-SA"/>
          <w:highlight w:val="auto"/>
        </w:rPr>
      </w:pPr>
      <w:r>
        <w:rPr>
          <w:rFonts w:ascii="Times New Roman" w:eastAsia="仿宋_GB2312" w:cs="Times New Roman" w:hAnsi="Times New Roman"/>
          <w:color w:val="auto"/>
          <w:kern w:val="2"/>
          <w:sz w:val="32"/>
          <w:szCs w:val="32"/>
          <w:lang w:val="en-US" w:eastAsia="zh-CN" w:bidi="ar-SA"/>
          <w:highlight w:val="auto"/>
        </w:rPr>
        <w:t>2025年度财政拨款“三公”经费支出决算为</w:t>
      </w:r>
      <w:r>
        <w:rPr>
          <w:rFonts w:ascii="Times New Roman" w:eastAsia="仿宋_GB2312" w:cs="Times New Roman" w:hAnsi="Times New Roman"/>
          <w:sz w:val="32"/>
          <w:szCs w:val="32"/>
        </w:rPr>
        <w:t>11.57</w:t>
      </w:r>
      <w:r>
        <w:rPr>
          <w:rFonts w:ascii="Times New Roman" w:eastAsia="仿宋_GB2312" w:cs="Times New Roman" w:hAnsi="Times New Roman"/>
          <w:color w:val="auto"/>
          <w:kern w:val="2"/>
          <w:sz w:val="32"/>
          <w:szCs w:val="32"/>
          <w:lang w:val="en-US" w:eastAsia="zh-CN" w:bidi="ar-SA"/>
          <w:highlight w:val="auto"/>
        </w:rPr>
        <w:t>万元，完成预算</w:t>
      </w:r>
      <w:r>
        <w:rPr>
          <w:rFonts w:ascii="Times New Roman" w:eastAsia="仿宋_GB2312" w:cs="Times New Roman" w:hAnsi="Times New Roman"/>
          <w:sz w:val="32"/>
          <w:szCs w:val="32"/>
        </w:rPr>
        <w:t>100</w:t>
      </w:r>
      <w:r>
        <w:rPr>
          <w:rFonts w:ascii="Times New Roman" w:eastAsia="仿宋_GB2312" w:cs="Times New Roman" w:hAnsi="Times New Roman"/>
          <w:color w:val="auto"/>
          <w:kern w:val="2"/>
          <w:sz w:val="32"/>
          <w:szCs w:val="32"/>
          <w:lang w:val="en-US" w:eastAsia="zh-CN" w:bidi="ar-SA"/>
          <w:highlight w:val="auto"/>
        </w:rPr>
        <w:t>%，较上年度增加0.82万元，增长7.6%。决算数与预算数</w:t>
      </w:r>
      <w:r>
        <w:rPr>
          <w:rFonts w:eastAsia="仿宋_GB2312" w:cs="Times New Roman" w:hint="eastAsia"/>
          <w:color w:val="auto"/>
          <w:kern w:val="2"/>
          <w:sz w:val="32"/>
          <w:szCs w:val="32"/>
          <w:lang w:val="en-US" w:eastAsia="zh-CN" w:bidi="ar-SA"/>
          <w:highlight w:val="auto"/>
        </w:rPr>
        <w:t>持平</w:t>
      </w:r>
      <w:r>
        <w:rPr>
          <w:rFonts w:ascii="Times New Roman" w:eastAsia="仿宋_GB2312" w:cs="Times New Roman" w:hAnsi="Times New Roman"/>
          <w:color w:val="auto"/>
          <w:kern w:val="2"/>
          <w:sz w:val="32"/>
          <w:szCs w:val="32"/>
          <w:lang w:val="en-US" w:eastAsia="zh-CN" w:bidi="ar-SA"/>
          <w:highlight w:val="auto"/>
        </w:rPr>
        <w:t>。</w:t>
      </w:r>
    </w:p>
    <w:p>
      <w:pPr>
        <w:spacing w:line="600" w:lineRule="exact"/>
        <w:ind w:firstLineChars="200" w:firstLine="640"/>
        <w:outlineLvl w:val="2"/>
        <w:rPr>
          <w:rFonts w:ascii="Times New Roman" w:eastAsia="楷体_GB2312" w:cs="Times New Roman" w:hAnsi="Times New Roman"/>
          <w:b/>
          <w:sz w:val="32"/>
          <w:szCs w:val="32"/>
        </w:rPr>
      </w:pPr>
      <w:bookmarkStart w:id="86" w:name="_Toc15377217"/>
      <w:r>
        <w:rPr>
          <w:rFonts w:ascii="Times New Roman" w:eastAsia="楷体_GB2312" w:cs="Times New Roman" w:hAnsi="Times New Roman"/>
          <w:b/>
          <w:sz w:val="32"/>
          <w:szCs w:val="32"/>
        </w:rPr>
        <w:t>（二）财政拨款“三公”经费支出决算具体情况说明</w:t>
      </w:r>
      <w:bookmarkEnd w:id="86"/>
    </w:p>
    <w:p>
      <w:pPr>
        <w:spacing w:line="600" w:lineRule="exact"/>
        <w:ind w:firstLine="640"/>
        <w:rPr>
          <w:rFonts w:ascii="Times New Roman" w:eastAsia="仿宋_GB2312" w:cs="Times New Roman" w:hAnsi="Times New Roman"/>
          <w:color w:val="auto"/>
          <w:kern w:val="2"/>
          <w:sz w:val="32"/>
          <w:szCs w:val="32"/>
          <w:lang w:val="en-US" w:eastAsia="zh-CN" w:bidi="ar-SA"/>
          <w:highlight w:val="auto"/>
        </w:rPr>
      </w:pPr>
      <w:r>
        <w:rPr>
          <w:rFonts w:ascii="Times New Roman" w:eastAsia="仿宋_GB2312" w:cs="Times New Roman" w:hAnsi="Times New Roman"/>
          <w:color w:val="auto"/>
          <w:kern w:val="2"/>
          <w:sz w:val="32"/>
          <w:szCs w:val="32"/>
          <w:lang w:val="en-US" w:eastAsia="zh-CN" w:bidi="ar-SA"/>
          <w:highlight w:val="auto"/>
        </w:rPr>
        <w:t>2025年度财政拨款“三公”经费支出决算中，因公出国（境）费支出决算</w:t>
      </w:r>
      <w:r>
        <w:rPr>
          <w:rFonts w:ascii="Times New Roman" w:eastAsia="仿宋_GB2312" w:cs="Times New Roman" w:hAnsi="Times New Roman"/>
          <w:sz w:val="32"/>
          <w:szCs w:val="32"/>
        </w:rPr>
        <w:t>0</w:t>
      </w:r>
      <w:r>
        <w:rPr>
          <w:rFonts w:ascii="Times New Roman" w:eastAsia="仿宋_GB2312" w:cs="Times New Roman" w:hAnsi="Times New Roman"/>
          <w:color w:val="auto"/>
          <w:kern w:val="2"/>
          <w:sz w:val="32"/>
          <w:szCs w:val="32"/>
          <w:lang w:val="en-US" w:eastAsia="zh-CN" w:bidi="ar-SA"/>
          <w:highlight w:val="auto"/>
        </w:rPr>
        <w:t>万元，占0%；公务用车购置及运行维护费支出决算</w:t>
      </w:r>
      <w:r>
        <w:rPr>
          <w:rFonts w:ascii="Times New Roman" w:eastAsia="仿宋_GB2312" w:cs="Times New Roman" w:hAnsi="Times New Roman"/>
          <w:sz w:val="32"/>
          <w:szCs w:val="32"/>
        </w:rPr>
        <w:t>9.7</w:t>
      </w:r>
      <w:r>
        <w:rPr>
          <w:rFonts w:ascii="Times New Roman" w:eastAsia="仿宋_GB2312" w:cs="Times New Roman" w:hAnsi="Times New Roman"/>
          <w:color w:val="auto"/>
          <w:kern w:val="2"/>
          <w:sz w:val="32"/>
          <w:szCs w:val="32"/>
          <w:lang w:val="en-US" w:eastAsia="zh-CN" w:bidi="ar-SA"/>
          <w:highlight w:val="auto"/>
        </w:rPr>
        <w:t>万元，占83.9%；公务接待费支出决算</w:t>
      </w:r>
      <w:r>
        <w:rPr>
          <w:rFonts w:ascii="Times New Roman" w:eastAsia="仿宋_GB2312" w:cs="Times New Roman" w:hAnsi="Times New Roman"/>
          <w:sz w:val="32"/>
          <w:szCs w:val="32"/>
        </w:rPr>
        <w:t>1.86</w:t>
      </w:r>
      <w:r>
        <w:rPr>
          <w:rFonts w:ascii="Times New Roman" w:eastAsia="仿宋_GB2312" w:cs="Times New Roman" w:hAnsi="Times New Roman"/>
          <w:color w:val="auto"/>
          <w:kern w:val="2"/>
          <w:sz w:val="32"/>
          <w:szCs w:val="32"/>
          <w:lang w:val="en-US" w:eastAsia="zh-CN" w:bidi="ar-SA"/>
          <w:highlight w:val="auto"/>
        </w:rPr>
        <w:t>万元，占16.1%。具体情况如下：</w:t>
      </w:r>
    </w:p>
    <w:p>
      <w:pPr>
        <w:pStyle w:val="18"/>
        <w:rPr>
          <w:rFonts w:ascii="Times New Roman" w:eastAsia="仿宋_GB2312" w:cs="Times New Roman" w:hAnsi="Times New Roman"/>
          <w:color w:val="auto"/>
          <w:kern w:val="2"/>
          <w:sz w:val="32"/>
          <w:szCs w:val="32"/>
          <w:lang w:val="en-US" w:eastAsia="zh-CN" w:bidi="ar-SA"/>
          <w:highlight w:val="auto"/>
        </w:rPr>
      </w:pPr>
      <w:r>
        <w:rPr>
          <w:rFonts w:ascii="Times New Roman" w:eastAsia="仿宋" w:cs="Times New Roman" w:hAnsi="Times New Roman"/>
          <w:sz w:val="32"/>
          <w:lang w:eastAsia="zh-CN"/>
        </w:rPr>
        <w:object>
          <v:shape id="_x0000_i7" type="#_x0000_t75" filled="f" stroked="f" style="width:294.55pt;height:223.25pt;" o:ole="">
            <v:stroke color="#000000"/>
            <v:imagedata r:id="rId20" o:title="image7"/>
            <o:lock aspectratio="t"/>
            <w10:anchorLock/>
          </v:shape>
          <o:OLEObject Type="Embed" ProgID="Package" ShapeID="_x0000_i7" DrawAspect="Content" ObjectID="_1393063357" r:id="rId21"/>
        </w:object>
      </w:r>
    </w:p>
    <w:p>
      <w:pPr>
        <w:spacing w:line="600" w:lineRule="exact"/>
        <w:jc w:val="center"/>
        <w:rPr>
          <w:rFonts w:ascii="Times New Roman" w:eastAsia="仿宋_GB2312" w:cs="Times New Roman" w:hAnsi="Times New Roman"/>
          <w:sz w:val="32"/>
          <w:szCs w:val="32"/>
        </w:rPr>
      </w:pPr>
      <w:r>
        <w:rPr>
          <w:rFonts w:ascii="Times New Roman" w:eastAsia="仿宋_GB2312" w:cs="Times New Roman" w:hAnsi="Times New Roman"/>
          <w:sz w:val="32"/>
          <w:szCs w:val="32"/>
        </w:rPr>
        <w:t>（图7：财政拨款“三公”经费支出结构）（饼状图）</w:t>
      </w:r>
    </w:p>
    <w:p>
      <w:pPr>
        <w:spacing w:line="600" w:lineRule="exact"/>
        <w:ind w:firstLine="640"/>
        <w:rPr>
          <w:rFonts w:ascii="Times New Roman" w:eastAsia="仿宋_GB2312" w:cs="Times New Roman" w:hAnsi="Times New Roman"/>
          <w:sz w:val="32"/>
          <w:szCs w:val="32"/>
          <w:lang w:eastAsia="zh-CN"/>
        </w:rPr>
      </w:pPr>
      <w:r>
        <w:rPr>
          <w:rFonts w:ascii="Times New Roman" w:eastAsia="仿宋_GB2312" w:cs="Times New Roman" w:hAnsi="Times New Roman"/>
          <w:b/>
          <w:bCs/>
          <w:sz w:val="32"/>
          <w:szCs w:val="32"/>
        </w:rPr>
        <w:t>1.因公出国（境）经费支出</w:t>
      </w:r>
      <w:r>
        <w:rPr>
          <w:rFonts w:ascii="Times New Roman" w:eastAsia="仿宋_GB2312" w:cs="Times New Roman" w:hAnsi="Times New Roman"/>
          <w:b/>
          <w:bCs/>
          <w:sz w:val="32"/>
          <w:szCs w:val="32"/>
          <w:lang w:val="en-US" w:eastAsia="zh-CN"/>
        </w:rPr>
        <w:t>0</w:t>
      </w:r>
      <w:r>
        <w:rPr>
          <w:rFonts w:ascii="Times New Roman" w:eastAsia="仿宋_GB2312" w:cs="Times New Roman" w:hAnsi="Times New Roman"/>
          <w:b/>
          <w:bCs/>
          <w:sz w:val="32"/>
          <w:szCs w:val="32"/>
        </w:rPr>
        <w:t>万元，完成预算</w:t>
      </w:r>
      <w:r>
        <w:rPr>
          <w:rFonts w:ascii="Times New Roman" w:eastAsia="仿宋_GB2312" w:cs="Times New Roman" w:hAnsi="Times New Roman"/>
          <w:b/>
          <w:bCs/>
          <w:sz w:val="32"/>
          <w:szCs w:val="32"/>
          <w:lang w:val="en-US" w:eastAsia="zh-CN"/>
        </w:rPr>
        <w:t>0</w:t>
      </w:r>
      <w:r>
        <w:rPr>
          <w:rFonts w:ascii="Times New Roman" w:eastAsia="仿宋_GB2312" w:cs="Times New Roman" w:hAnsi="Times New Roman"/>
          <w:b/>
          <w:bCs/>
          <w:sz w:val="32"/>
          <w:szCs w:val="32"/>
        </w:rPr>
        <w:t>%。</w:t>
      </w:r>
      <w:r>
        <w:rPr>
          <w:rFonts w:ascii="Times New Roman" w:eastAsia="仿宋_GB2312" w:cs="Times New Roman" w:hAnsi="Times New Roman"/>
          <w:sz w:val="32"/>
          <w:szCs w:val="32"/>
        </w:rPr>
        <w:t>全年</w:t>
      </w:r>
      <w:r>
        <w:rPr>
          <w:rFonts w:ascii="Times New Roman" w:eastAsia="仿宋_GB2312" w:cs="Times New Roman" w:hAnsi="Times New Roman"/>
          <w:sz w:val="32"/>
          <w:szCs w:val="32"/>
          <w:lang w:eastAsia="zh-CN"/>
        </w:rPr>
        <w:t>未</w:t>
      </w:r>
      <w:r>
        <w:rPr>
          <w:rFonts w:ascii="Times New Roman" w:eastAsia="仿宋_GB2312" w:cs="Times New Roman" w:hAnsi="Times New Roman"/>
          <w:sz w:val="32"/>
          <w:szCs w:val="32"/>
        </w:rPr>
        <w:t>安排因公出国（境）</w:t>
      </w:r>
      <w:r>
        <w:rPr>
          <w:rFonts w:ascii="Times New Roman" w:eastAsia="仿宋_GB2312" w:cs="Times New Roman" w:hAnsi="Times New Roman"/>
          <w:sz w:val="32"/>
          <w:szCs w:val="32"/>
          <w:lang w:eastAsia="zh-CN"/>
        </w:rPr>
        <w:t>。</w:t>
      </w:r>
    </w:p>
    <w:p>
      <w:pPr>
        <w:spacing w:line="600" w:lineRule="exact"/>
        <w:ind w:firstLine="640"/>
        <w:rPr>
          <w:rFonts w:ascii="Times New Roman" w:eastAsia="仿宋_GB2312" w:cs="Times New Roman" w:hAnsi="Times New Roman"/>
          <w:sz w:val="32"/>
          <w:szCs w:val="32"/>
        </w:rPr>
      </w:pPr>
      <w:r>
        <w:rPr>
          <w:rFonts w:ascii="Times New Roman" w:eastAsia="仿宋_GB2312" w:cs="Times New Roman" w:hAnsi="Times New Roman"/>
          <w:b/>
          <w:bCs/>
          <w:sz w:val="32"/>
          <w:szCs w:val="32"/>
        </w:rPr>
        <w:t>2.公务用车购置及运行维护费支出</w:t>
      </w:r>
      <w:r>
        <w:rPr>
          <w:rFonts w:ascii="Times New Roman" w:eastAsia="仿宋_GB2312" w:cs="Times New Roman" w:hAnsi="Times New Roman"/>
          <w:b/>
          <w:bCs/>
          <w:sz w:val="32"/>
          <w:szCs w:val="32"/>
          <w:lang w:val="en-US" w:eastAsia="zh-CN"/>
        </w:rPr>
        <w:t>9.7</w:t>
      </w:r>
      <w:r>
        <w:rPr>
          <w:rFonts w:ascii="Times New Roman" w:eastAsia="仿宋_GB2312" w:cs="Times New Roman" w:hAnsi="Times New Roman"/>
          <w:b/>
          <w:bCs/>
          <w:sz w:val="32"/>
          <w:szCs w:val="32"/>
        </w:rPr>
        <w:t>万元，完成预算</w:t>
      </w:r>
      <w:r>
        <w:rPr>
          <w:rFonts w:ascii="Times New Roman" w:eastAsia="仿宋_GB2312" w:cs="Times New Roman" w:hAnsi="Times New Roman"/>
          <w:b/>
          <w:bCs/>
          <w:sz w:val="32"/>
          <w:szCs w:val="32"/>
          <w:lang w:val="en-US" w:eastAsia="zh-CN"/>
        </w:rPr>
        <w:t>100</w:t>
      </w:r>
      <w:r>
        <w:rPr>
          <w:rFonts w:ascii="Times New Roman" w:eastAsia="仿宋_GB2312" w:cs="Times New Roman" w:hAnsi="Times New Roman"/>
          <w:b/>
          <w:bCs/>
          <w:sz w:val="32"/>
          <w:szCs w:val="32"/>
        </w:rPr>
        <w:t>%。</w:t>
      </w:r>
      <w:r>
        <w:rPr>
          <w:rFonts w:ascii="Times New Roman" w:eastAsia="仿宋_GB2312" w:cs="Times New Roman" w:hAnsi="Times New Roman"/>
          <w:sz w:val="32"/>
          <w:szCs w:val="32"/>
        </w:rPr>
        <w:t>公务用车购置及运行维护费支出决算比上年度增加</w:t>
      </w:r>
      <w:r>
        <w:rPr>
          <w:rFonts w:ascii="Times New Roman" w:eastAsia="仿宋_GB2312" w:cs="Times New Roman" w:hAnsi="Times New Roman"/>
          <w:sz w:val="32"/>
          <w:szCs w:val="32"/>
          <w:lang w:val="en-US" w:eastAsia="zh-CN"/>
        </w:rPr>
        <w:t>0.85</w:t>
      </w:r>
      <w:r>
        <w:rPr>
          <w:rFonts w:ascii="Times New Roman" w:eastAsia="仿宋_GB2312" w:cs="Times New Roman" w:hAnsi="Times New Roman"/>
          <w:sz w:val="32"/>
          <w:szCs w:val="32"/>
        </w:rPr>
        <w:t>万元，增长</w:t>
      </w:r>
      <w:r>
        <w:rPr>
          <w:rFonts w:ascii="Times New Roman" w:eastAsia="仿宋_GB2312" w:cs="Times New Roman" w:hAnsi="Times New Roman"/>
          <w:sz w:val="32"/>
          <w:szCs w:val="32"/>
          <w:lang w:val="en-US" w:eastAsia="zh-CN"/>
        </w:rPr>
        <w:t>9.6</w:t>
      </w:r>
      <w:r>
        <w:rPr>
          <w:rFonts w:ascii="Times New Roman" w:eastAsia="仿宋_GB2312" w:cs="Times New Roman" w:hAnsi="Times New Roman"/>
          <w:sz w:val="32"/>
          <w:szCs w:val="32"/>
        </w:rPr>
        <w:t>%。主要原因是车辆</w:t>
      </w:r>
      <w:r>
        <w:rPr>
          <w:rFonts w:ascii="Times New Roman" w:eastAsia="仿宋_GB2312" w:cs="Times New Roman" w:hAnsi="Times New Roman"/>
          <w:sz w:val="32"/>
          <w:szCs w:val="32"/>
          <w:lang w:eastAsia="zh-CN"/>
        </w:rPr>
        <w:t>定期和不定期</w:t>
      </w:r>
      <w:r>
        <w:rPr>
          <w:rFonts w:ascii="Times New Roman" w:eastAsia="仿宋_GB2312" w:cs="Times New Roman" w:hAnsi="Times New Roman"/>
          <w:sz w:val="32"/>
          <w:szCs w:val="32"/>
        </w:rPr>
        <w:t>维修保养费用</w:t>
      </w:r>
      <w:r>
        <w:rPr>
          <w:rFonts w:ascii="Times New Roman" w:eastAsia="仿宋_GB2312" w:cs="Times New Roman" w:hAnsi="Times New Roman"/>
          <w:sz w:val="32"/>
          <w:szCs w:val="32"/>
          <w:lang w:val="en-US" w:eastAsia="zh-CN"/>
        </w:rPr>
        <w:t>有所增加</w:t>
      </w:r>
      <w:r>
        <w:rPr>
          <w:rFonts w:ascii="Times New Roman" w:eastAsia="仿宋_GB2312" w:cs="Times New Roman" w:hAnsi="Times New Roman"/>
          <w:sz w:val="32"/>
          <w:szCs w:val="32"/>
        </w:rPr>
        <w:t>。</w:t>
      </w:r>
    </w:p>
    <w:p>
      <w:pPr>
        <w:spacing w:line="600" w:lineRule="exact"/>
        <w:ind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其中：公务用车购置支出</w:t>
      </w:r>
      <w:r>
        <w:rPr>
          <w:rFonts w:ascii="Times New Roman" w:eastAsia="仿宋_GB2312" w:cs="Times New Roman" w:hAnsi="Times New Roman"/>
          <w:sz w:val="32"/>
          <w:szCs w:val="32"/>
          <w:lang w:val="en-US" w:eastAsia="zh-CN"/>
        </w:rPr>
        <w:t>0</w:t>
      </w:r>
      <w:r>
        <w:rPr>
          <w:rFonts w:ascii="Times New Roman" w:eastAsia="仿宋_GB2312" w:cs="Times New Roman" w:hAnsi="Times New Roman"/>
          <w:sz w:val="32"/>
          <w:szCs w:val="32"/>
        </w:rPr>
        <w:t>万元。全年未更新购置公务用车。截至2025年12月31日，单位共有公务用车</w:t>
      </w:r>
      <w:r>
        <w:rPr>
          <w:rFonts w:ascii="Times New Roman" w:eastAsia="仿宋_GB2312" w:cs="Times New Roman" w:hAnsi="Times New Roman"/>
          <w:sz w:val="32"/>
          <w:szCs w:val="32"/>
          <w:lang w:val="en-US" w:eastAsia="zh-CN"/>
        </w:rPr>
        <w:t>5</w:t>
      </w:r>
      <w:r>
        <w:rPr>
          <w:rFonts w:ascii="Times New Roman" w:eastAsia="仿宋_GB2312" w:cs="Times New Roman" w:hAnsi="Times New Roman"/>
          <w:sz w:val="32"/>
          <w:szCs w:val="32"/>
        </w:rPr>
        <w:t>辆，其中：轿</w:t>
      </w:r>
      <w:r>
        <w:rPr>
          <w:rFonts w:ascii="Times New Roman" w:eastAsia="仿宋_GB2312" w:cs="Times New Roman" w:hAnsi="Times New Roman"/>
          <w:sz w:val="32"/>
          <w:szCs w:val="32"/>
          <w:highlight w:val="auto"/>
        </w:rPr>
        <w:t>车</w:t>
      </w:r>
      <w:r>
        <w:rPr>
          <w:rFonts w:ascii="Times New Roman" w:eastAsia="仿宋_GB2312" w:cs="Times New Roman" w:hAnsi="Times New Roman"/>
          <w:sz w:val="32"/>
          <w:szCs w:val="32"/>
          <w:lang w:val="en-US" w:eastAsia="zh-CN"/>
          <w:highlight w:val="auto"/>
        </w:rPr>
        <w:t>2</w:t>
      </w:r>
      <w:r>
        <w:rPr>
          <w:rFonts w:ascii="Times New Roman" w:eastAsia="仿宋_GB2312" w:cs="Times New Roman" w:hAnsi="Times New Roman"/>
          <w:sz w:val="32"/>
          <w:szCs w:val="32"/>
          <w:highlight w:val="auto"/>
        </w:rPr>
        <w:t>辆</w:t>
      </w:r>
      <w:r>
        <w:rPr>
          <w:rFonts w:ascii="Times New Roman" w:eastAsia="仿宋_GB2312" w:cs="Times New Roman" w:hAnsi="Times New Roman"/>
          <w:sz w:val="32"/>
          <w:szCs w:val="32"/>
        </w:rPr>
        <w:t>、越野车3辆。</w:t>
      </w:r>
    </w:p>
    <w:p>
      <w:pPr>
        <w:spacing w:line="600" w:lineRule="exact"/>
        <w:ind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公务用车运行维护费支出</w:t>
      </w:r>
      <w:r>
        <w:rPr>
          <w:rFonts w:ascii="Times New Roman" w:eastAsia="仿宋_GB2312" w:cs="Times New Roman" w:hAnsi="Times New Roman"/>
          <w:sz w:val="32"/>
          <w:szCs w:val="32"/>
          <w:lang w:val="en-US" w:eastAsia="zh-CN"/>
        </w:rPr>
        <w:t>9.7</w:t>
      </w:r>
      <w:r>
        <w:rPr>
          <w:rFonts w:ascii="Times New Roman" w:eastAsia="仿宋_GB2312" w:cs="Times New Roman" w:hAnsi="Times New Roman"/>
          <w:sz w:val="32"/>
          <w:szCs w:val="32"/>
        </w:rPr>
        <w:t>万元。主要用于公证业务现场取证、森林防灭火巡查、涉密文件运送、法治宣传、执法监督等所需的公务用车燃料费、维修费、过路过桥费、保险费等支出。</w:t>
      </w:r>
    </w:p>
    <w:p>
      <w:pPr>
        <w:spacing w:line="600" w:lineRule="exact"/>
        <w:ind w:firstLine="640"/>
        <w:rPr>
          <w:rFonts w:ascii="Times New Roman" w:eastAsia="仿宋_GB2312" w:cs="Times New Roman" w:hAnsi="Times New Roman"/>
          <w:sz w:val="32"/>
          <w:szCs w:val="32"/>
        </w:rPr>
      </w:pPr>
      <w:r>
        <w:rPr>
          <w:rFonts w:ascii="Times New Roman" w:eastAsia="仿宋_GB2312" w:cs="Times New Roman" w:hAnsi="Times New Roman"/>
          <w:b/>
          <w:bCs/>
          <w:sz w:val="32"/>
          <w:szCs w:val="32"/>
        </w:rPr>
        <w:t>3.公务接待费支出</w:t>
      </w:r>
      <w:r>
        <w:rPr>
          <w:rFonts w:ascii="Times New Roman" w:eastAsia="仿宋_GB2312" w:cs="Times New Roman" w:hAnsi="Times New Roman"/>
          <w:b/>
          <w:bCs/>
          <w:sz w:val="32"/>
          <w:szCs w:val="32"/>
          <w:lang w:val="en-US" w:eastAsia="zh-CN"/>
        </w:rPr>
        <w:t>1.86</w:t>
      </w:r>
      <w:r>
        <w:rPr>
          <w:rFonts w:ascii="Times New Roman" w:eastAsia="仿宋_GB2312" w:cs="Times New Roman" w:hAnsi="Times New Roman"/>
          <w:b/>
          <w:bCs/>
          <w:sz w:val="32"/>
          <w:szCs w:val="32"/>
        </w:rPr>
        <w:t>万元，完成预算</w:t>
      </w:r>
      <w:r>
        <w:rPr>
          <w:rFonts w:ascii="Times New Roman" w:eastAsia="仿宋_GB2312" w:cs="Times New Roman" w:hAnsi="Times New Roman"/>
          <w:b/>
          <w:bCs/>
          <w:sz w:val="32"/>
          <w:szCs w:val="32"/>
          <w:lang w:val="en-US" w:eastAsia="zh-CN"/>
        </w:rPr>
        <w:t>100</w:t>
      </w:r>
      <w:r>
        <w:rPr>
          <w:rFonts w:ascii="Times New Roman" w:eastAsia="仿宋_GB2312" w:cs="Times New Roman" w:hAnsi="Times New Roman"/>
          <w:b/>
          <w:bCs/>
          <w:sz w:val="32"/>
          <w:szCs w:val="32"/>
        </w:rPr>
        <w:t>%。</w:t>
      </w:r>
      <w:r>
        <w:rPr>
          <w:rFonts w:ascii="Times New Roman" w:eastAsia="仿宋_GB2312" w:cs="Times New Roman" w:hAnsi="Times New Roman"/>
          <w:sz w:val="32"/>
          <w:szCs w:val="32"/>
        </w:rPr>
        <w:t>公务接待费支出决算比上年度减少</w:t>
      </w:r>
      <w:r>
        <w:rPr>
          <w:rFonts w:ascii="Times New Roman" w:eastAsia="仿宋_GB2312" w:cs="Times New Roman" w:hAnsi="Times New Roman"/>
          <w:sz w:val="32"/>
          <w:szCs w:val="32"/>
          <w:lang w:val="en-US" w:eastAsia="zh-CN"/>
        </w:rPr>
        <w:t>0.04</w:t>
      </w:r>
      <w:r>
        <w:rPr>
          <w:rFonts w:ascii="Times New Roman" w:eastAsia="仿宋_GB2312" w:cs="Times New Roman" w:hAnsi="Times New Roman"/>
          <w:sz w:val="32"/>
          <w:szCs w:val="32"/>
        </w:rPr>
        <w:t>万元，下降</w:t>
      </w:r>
      <w:r>
        <w:rPr>
          <w:rFonts w:ascii="Times New Roman" w:eastAsia="仿宋_GB2312" w:cs="Times New Roman" w:hAnsi="Times New Roman"/>
          <w:sz w:val="32"/>
          <w:szCs w:val="32"/>
          <w:lang w:val="en-US" w:eastAsia="zh-CN"/>
        </w:rPr>
        <w:t>2.1</w:t>
      </w:r>
      <w:r>
        <w:rPr>
          <w:rFonts w:ascii="Times New Roman" w:eastAsia="仿宋_GB2312" w:cs="Times New Roman" w:hAnsi="Times New Roman"/>
          <w:sz w:val="32"/>
          <w:szCs w:val="32"/>
        </w:rPr>
        <w:t>%。主要原因是</w:t>
      </w:r>
      <w:r>
        <w:rPr>
          <w:rFonts w:ascii="Times New Roman" w:eastAsia="仿宋_GB2312" w:cs="Times New Roman" w:hAnsi="Times New Roman"/>
          <w:sz w:val="32"/>
          <w:szCs w:val="32"/>
          <w:lang w:eastAsia="zh-CN"/>
        </w:rPr>
        <w:t>公务接待标准调整，总体费用下降</w:t>
      </w:r>
      <w:r>
        <w:rPr>
          <w:rFonts w:ascii="Times New Roman" w:eastAsia="仿宋_GB2312" w:cs="Times New Roman" w:hAnsi="Times New Roman"/>
          <w:sz w:val="32"/>
          <w:szCs w:val="32"/>
        </w:rPr>
        <w:t>。其中：</w:t>
      </w:r>
    </w:p>
    <w:p>
      <w:pPr>
        <w:spacing w:line="600" w:lineRule="exact"/>
        <w:ind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国内公务接待支出</w:t>
      </w:r>
      <w:r>
        <w:rPr>
          <w:rFonts w:ascii="Times New Roman" w:eastAsia="仿宋_GB2312" w:cs="Times New Roman" w:hAnsi="Times New Roman"/>
          <w:sz w:val="32"/>
          <w:szCs w:val="32"/>
          <w:lang w:val="en-US" w:eastAsia="zh-CN"/>
        </w:rPr>
        <w:t>1.86</w:t>
      </w:r>
      <w:r>
        <w:rPr>
          <w:rFonts w:ascii="Times New Roman" w:eastAsia="仿宋_GB2312" w:cs="Times New Roman" w:hAnsi="Times New Roman"/>
          <w:sz w:val="32"/>
          <w:szCs w:val="32"/>
        </w:rPr>
        <w:t>万元，主要用于法律职业资格考试</w:t>
      </w:r>
      <w:r>
        <w:rPr>
          <w:rFonts w:ascii="Times New Roman" w:eastAsia="仿宋_GB2312" w:cs="Times New Roman" w:hAnsi="Times New Roman"/>
          <w:sz w:val="32"/>
          <w:szCs w:val="32"/>
          <w:lang w:val="en-US" w:eastAsia="zh-CN"/>
        </w:rPr>
        <w:t>督考</w:t>
      </w:r>
      <w:r>
        <w:rPr>
          <w:rFonts w:ascii="Times New Roman" w:eastAsia="仿宋_GB2312" w:cs="Times New Roman" w:hAnsi="Times New Roman"/>
          <w:sz w:val="32"/>
          <w:szCs w:val="32"/>
        </w:rPr>
        <w:t>、专项执法监督、公共法律服务调研、</w:t>
      </w:r>
      <w:r>
        <w:rPr>
          <w:rFonts w:ascii="Times New Roman" w:eastAsia="仿宋_GB2312" w:cs="Times New Roman" w:hAnsi="Times New Roman"/>
          <w:sz w:val="32"/>
          <w:szCs w:val="32"/>
          <w:lang w:val="en-US" w:eastAsia="zh-CN"/>
        </w:rPr>
        <w:t>立法调研</w:t>
      </w:r>
      <w:r>
        <w:rPr>
          <w:rFonts w:ascii="Times New Roman" w:eastAsia="仿宋_GB2312" w:cs="Times New Roman" w:hAnsi="Times New Roman"/>
          <w:sz w:val="32"/>
          <w:szCs w:val="32"/>
        </w:rPr>
        <w:t>等。</w:t>
      </w:r>
      <w:r>
        <w:rPr>
          <w:rFonts w:ascii="Times New Roman" w:eastAsia="仿宋_GB2312" w:cs="Times New Roman" w:hAnsi="Times New Roman"/>
          <w:color w:val="auto"/>
          <w:kern w:val="2"/>
          <w:sz w:val="32"/>
          <w:szCs w:val="32"/>
          <w:lang w:val="en-US" w:eastAsia="zh-CN" w:bidi="ar-SA"/>
          <w:highlight w:val="auto"/>
        </w:rPr>
        <w:t>国内公务接待</w:t>
      </w:r>
      <w:r>
        <w:rPr>
          <w:rFonts w:ascii="Times New Roman" w:eastAsia="仿宋_GB2312" w:cs="Times New Roman" w:hAnsi="Times New Roman"/>
          <w:sz w:val="32"/>
          <w:szCs w:val="32"/>
        </w:rPr>
        <w:t>19</w:t>
      </w:r>
      <w:r>
        <w:rPr>
          <w:rFonts w:ascii="Times New Roman" w:eastAsia="仿宋_GB2312" w:cs="Times New Roman" w:hAnsi="Times New Roman"/>
          <w:color w:val="auto"/>
          <w:kern w:val="2"/>
          <w:sz w:val="32"/>
          <w:szCs w:val="32"/>
          <w:lang w:val="en-US" w:eastAsia="zh-CN" w:bidi="ar-SA"/>
          <w:highlight w:val="auto"/>
        </w:rPr>
        <w:t>批次，</w:t>
      </w:r>
      <w:r>
        <w:rPr>
          <w:rFonts w:ascii="Times New Roman" w:eastAsia="仿宋_GB2312" w:cs="Times New Roman" w:hAnsi="Times New Roman"/>
          <w:sz w:val="32"/>
          <w:szCs w:val="32"/>
        </w:rPr>
        <w:t>125</w:t>
      </w:r>
      <w:r>
        <w:rPr>
          <w:rFonts w:ascii="Times New Roman" w:eastAsia="仿宋_GB2312" w:cs="Times New Roman" w:hAnsi="Times New Roman"/>
          <w:color w:val="auto"/>
          <w:kern w:val="2"/>
          <w:sz w:val="32"/>
          <w:szCs w:val="32"/>
          <w:lang w:val="en-US" w:eastAsia="zh-CN" w:bidi="ar-SA"/>
          <w:highlight w:val="auto"/>
        </w:rPr>
        <w:t>人次（不包括陪同人员），共计支出1.86万元，具体内容包括：司法厅到攀调研社区矫正工作公务接待0.09万元；司法厅到攀调查行政复议案件公务接待0.09万元；司法厅到攀开展工作调研公务接待0.12万元；司法厅法治调研处到攀指导授课公务接待0.07万元；丽江市司法局到攀交流学习公务接待0.15万元；四川司法警官职业学院到攀交流学习公务接待0.12万元；四川十大法治人物到攀授课公务接待0.05万元；省“八五”普法总结验收现场调研组到攀调研公务接待0.11万元；凉山州司法局到攀协调社区矫正对象执行地变更事宜公务接待0.16万元；省戒毒管理局到攀考察调研公务接待0.11万元；2025年国家统一法律职业资格考试省厅督导组到攀督导检查公务接待0.11万元等。</w:t>
      </w:r>
    </w:p>
    <w:p>
      <w:pPr>
        <w:spacing w:line="600" w:lineRule="exact"/>
        <w:ind w:firstLine="640"/>
        <w:outlineLvl w:val="1"/>
        <w:rPr>
          <w:rFonts w:ascii="Times New Roman" w:eastAsia="仿宋_GB2312" w:cs="Times New Roman" w:hAnsi="Times New Roman"/>
          <w:sz w:val="32"/>
          <w:szCs w:val="32"/>
        </w:rPr>
      </w:pPr>
      <w:bookmarkStart w:id="87" w:name="_Toc176939612"/>
      <w:bookmarkStart w:id="88" w:name="_Toc15396610"/>
      <w:bookmarkStart w:id="89" w:name="_Toc15377218"/>
      <w:r>
        <w:rPr>
          <w:rFonts w:ascii="Times New Roman" w:eastAsia="仿宋" w:cs="Times New Roman" w:hAnsi="Times New Roman"/>
          <w:b w:val="0"/>
          <w:bCs/>
          <w:sz w:val="32"/>
          <w:szCs w:val="32"/>
        </w:rPr>
        <w:t>外事接待支出0</w:t>
      </w:r>
      <w:r>
        <w:rPr>
          <w:rFonts w:ascii="Times New Roman" w:eastAsia="仿宋_GB2312" w:cs="Times New Roman" w:hAnsi="Times New Roman"/>
          <w:sz w:val="32"/>
          <w:szCs w:val="32"/>
        </w:rPr>
        <w:t>万元，无外事接待业务。</w:t>
      </w:r>
      <w:bookmarkEnd w:id="87"/>
    </w:p>
    <w:p>
      <w:pPr>
        <w:spacing w:line="600" w:lineRule="exact"/>
        <w:ind w:firstLine="640"/>
        <w:rPr>
          <w:rFonts w:ascii="Times New Roman" w:eastAsia="仿宋_GB2312" w:cs="Times New Roman" w:hAnsi="Times New Roman"/>
          <w:sz w:val="32"/>
          <w:szCs w:val="32"/>
        </w:rPr>
      </w:pPr>
    </w:p>
    <w:p>
      <w:pPr>
        <w:spacing w:line="600" w:lineRule="exact"/>
        <w:ind w:firstLine="640"/>
        <w:outlineLvl w:val="1"/>
        <w:rPr>
          <w:rStyle w:val="2Char"/>
          <w:rFonts w:ascii="Times New Roman" w:eastAsia="黑体" w:cs="Times New Roman" w:hAnsi="Times New Roman"/>
        </w:rPr>
      </w:pPr>
      <w:bookmarkStart w:id="90" w:name="_Toc1124057292_WPSOffice_Level2"/>
      <w:r>
        <w:rPr>
          <w:rFonts w:ascii="Times New Roman" w:eastAsia="黑体" w:cs="Times New Roman" w:hAnsi="Times New Roman"/>
          <w:sz w:val="32"/>
          <w:szCs w:val="32"/>
        </w:rPr>
        <w:t>八、</w:t>
      </w:r>
      <w:r>
        <w:rPr>
          <w:rStyle w:val="2Char"/>
          <w:rFonts w:ascii="Times New Roman" w:eastAsia="黑体" w:cs="Times New Roman" w:hAnsi="Times New Roman"/>
          <w:b w:val="0"/>
        </w:rPr>
        <w:t>政府性基金预算支出决算情况说明</w:t>
      </w:r>
      <w:bookmarkEnd w:id="88"/>
      <w:bookmarkEnd w:id="89"/>
      <w:bookmarkEnd w:id="90"/>
    </w:p>
    <w:p>
      <w:pPr>
        <w:spacing w:line="600" w:lineRule="exact"/>
        <w:ind w:firstLine="640"/>
        <w:rPr>
          <w:rFonts w:ascii="Times New Roman" w:eastAsia="仿宋_GB2312" w:cs="Times New Roman" w:hAnsi="Times New Roman"/>
          <w:b/>
          <w:bCs/>
          <w:sz w:val="32"/>
          <w:szCs w:val="32"/>
        </w:rPr>
      </w:pPr>
      <w:r>
        <w:rPr>
          <w:rFonts w:ascii="Times New Roman" w:eastAsia="仿宋_GB2312" w:cs="Times New Roman" w:hAnsi="Times New Roman"/>
          <w:sz w:val="32"/>
          <w:szCs w:val="32"/>
        </w:rPr>
        <w:t>2025年度政府性基金预算财政拨款支出</w:t>
      </w:r>
      <w:r>
        <w:rPr>
          <w:rFonts w:ascii="Times New Roman" w:eastAsia="仿宋_GB2312" w:cs="Times New Roman" w:hAnsi="Times New Roman"/>
          <w:sz w:val="32"/>
          <w:szCs w:val="32"/>
          <w:lang w:val="en-US" w:eastAsia="zh-CN"/>
        </w:rPr>
        <w:t>0</w:t>
      </w:r>
      <w:r>
        <w:rPr>
          <w:rFonts w:ascii="Times New Roman" w:eastAsia="仿宋_GB2312" w:cs="Times New Roman" w:hAnsi="Times New Roman"/>
          <w:sz w:val="32"/>
          <w:szCs w:val="32"/>
        </w:rPr>
        <w:t>万元，占本年支出合计的</w:t>
      </w:r>
      <w:r>
        <w:rPr>
          <w:rFonts w:ascii="Times New Roman" w:eastAsia="仿宋_GB2312" w:cs="Times New Roman" w:hAnsi="Times New Roman"/>
          <w:sz w:val="32"/>
          <w:szCs w:val="32"/>
          <w:lang w:val="en-US" w:eastAsia="zh-CN"/>
        </w:rPr>
        <w:t>0</w:t>
      </w:r>
      <w:r>
        <w:rPr>
          <w:rFonts w:ascii="Times New Roman" w:eastAsia="仿宋_GB2312" w:cs="Times New Roman" w:hAnsi="Times New Roman"/>
          <w:sz w:val="32"/>
          <w:szCs w:val="32"/>
        </w:rPr>
        <w:t>%。</w:t>
      </w:r>
    </w:p>
    <w:p>
      <w:pPr>
        <w:spacing w:line="600" w:lineRule="exact"/>
        <w:ind w:firstLine="640"/>
        <w:rPr>
          <w:rFonts w:ascii="Times New Roman" w:eastAsia="仿宋_GB2312" w:cs="Times New Roman" w:hAnsi="Times New Roman"/>
          <w:sz w:val="32"/>
          <w:szCs w:val="32"/>
        </w:rPr>
      </w:pPr>
    </w:p>
    <w:p>
      <w:pPr>
        <w:spacing w:line="600" w:lineRule="exact"/>
        <w:ind w:left="630"/>
        <w:outlineLvl w:val="1"/>
        <w:rPr>
          <w:rStyle w:val="2Char"/>
          <w:rFonts w:ascii="Times New Roman" w:eastAsia="黑体" w:cs="Times New Roman" w:hAnsi="Times New Roman"/>
          <w:b w:val="0"/>
        </w:rPr>
      </w:pPr>
      <w:bookmarkStart w:id="91" w:name="_Toc15377219"/>
      <w:bookmarkStart w:id="92" w:name="_Toc399930058_WPSOffice_Level2"/>
      <w:bookmarkStart w:id="93" w:name="_Toc15396611"/>
      <w:r>
        <w:rPr>
          <w:rStyle w:val="2Char"/>
          <w:rFonts w:ascii="Times New Roman" w:eastAsia="黑体" w:cs="Times New Roman" w:hAnsi="Times New Roman"/>
          <w:b w:val="0"/>
        </w:rPr>
        <w:t>九、国有资本经营预算支出决算情况说明</w:t>
      </w:r>
      <w:bookmarkEnd w:id="91"/>
      <w:bookmarkEnd w:id="92"/>
      <w:bookmarkEnd w:id="93"/>
    </w:p>
    <w:p>
      <w:pPr>
        <w:spacing w:line="600" w:lineRule="exact"/>
        <w:ind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2025年度国有资本经营预算财政拨款支出</w:t>
      </w:r>
      <w:r>
        <w:rPr>
          <w:rFonts w:ascii="Times New Roman" w:eastAsia="仿宋_GB2312" w:cs="Times New Roman" w:hAnsi="Times New Roman"/>
          <w:sz w:val="32"/>
          <w:szCs w:val="32"/>
          <w:lang w:val="en-US" w:eastAsia="zh-CN"/>
        </w:rPr>
        <w:t>0</w:t>
      </w:r>
      <w:r>
        <w:rPr>
          <w:rFonts w:ascii="Times New Roman" w:eastAsia="仿宋_GB2312" w:cs="Times New Roman" w:hAnsi="Times New Roman"/>
          <w:sz w:val="32"/>
          <w:szCs w:val="32"/>
        </w:rPr>
        <w:t>万元，占本年支出合计的</w:t>
      </w:r>
      <w:r>
        <w:rPr>
          <w:rFonts w:ascii="Times New Roman" w:eastAsia="仿宋_GB2312" w:cs="Times New Roman" w:hAnsi="Times New Roman"/>
          <w:sz w:val="32"/>
          <w:szCs w:val="32"/>
          <w:lang w:val="en-US" w:eastAsia="zh-CN"/>
        </w:rPr>
        <w:t>0</w:t>
      </w:r>
      <w:r>
        <w:rPr>
          <w:rFonts w:ascii="Times New Roman" w:eastAsia="仿宋_GB2312" w:cs="Times New Roman" w:hAnsi="Times New Roman"/>
          <w:sz w:val="32"/>
          <w:szCs w:val="32"/>
        </w:rPr>
        <w:t>%。</w:t>
      </w:r>
    </w:p>
    <w:p>
      <w:pPr>
        <w:spacing w:line="600" w:lineRule="exact"/>
        <w:ind w:firstLine="640"/>
        <w:rPr>
          <w:rFonts w:ascii="Times New Roman" w:eastAsia="仿宋_GB2312" w:cs="Times New Roman" w:hAnsi="Times New Roman"/>
          <w:sz w:val="32"/>
          <w:szCs w:val="32"/>
        </w:rPr>
      </w:pPr>
    </w:p>
    <w:p>
      <w:pPr>
        <w:spacing w:line="600" w:lineRule="exact"/>
        <w:ind w:left="630"/>
        <w:outlineLvl w:val="1"/>
        <w:rPr>
          <w:rStyle w:val="2Char"/>
          <w:rFonts w:ascii="Times New Roman" w:eastAsia="黑体" w:cs="Times New Roman" w:hAnsi="Times New Roman"/>
          <w:b w:val="0"/>
        </w:rPr>
      </w:pPr>
      <w:bookmarkStart w:id="94" w:name="_Toc689720838_WPSOffice_Level2"/>
      <w:bookmarkStart w:id="95" w:name="_Toc15396612"/>
      <w:bookmarkStart w:id="96" w:name="_Toc15377221"/>
      <w:r>
        <w:rPr>
          <w:rStyle w:val="2Char"/>
          <w:rFonts w:ascii="Times New Roman" w:eastAsia="黑体" w:cs="Times New Roman" w:hAnsi="Times New Roman"/>
          <w:b w:val="0"/>
        </w:rPr>
        <w:t>十、其他重要事项的情况说明</w:t>
      </w:r>
      <w:bookmarkEnd w:id="94"/>
      <w:bookmarkEnd w:id="95"/>
      <w:bookmarkEnd w:id="96"/>
    </w:p>
    <w:p>
      <w:pPr>
        <w:spacing w:line="600" w:lineRule="exact"/>
        <w:ind w:firstLineChars="200" w:firstLine="640"/>
        <w:outlineLvl w:val="2"/>
        <w:rPr>
          <w:rFonts w:ascii="Times New Roman" w:eastAsia="楷体_GB2312" w:cs="Times New Roman" w:hAnsi="Times New Roman"/>
          <w:b/>
          <w:sz w:val="32"/>
          <w:szCs w:val="32"/>
        </w:rPr>
      </w:pPr>
      <w:bookmarkStart w:id="97" w:name="_Toc15377222"/>
      <w:r>
        <w:rPr>
          <w:rFonts w:ascii="Times New Roman" w:eastAsia="楷体_GB2312" w:cs="Times New Roman" w:hAnsi="Times New Roman"/>
          <w:b/>
          <w:sz w:val="32"/>
          <w:szCs w:val="32"/>
        </w:rPr>
        <w:t>（一）机关运行经费支出情况</w:t>
      </w:r>
      <w:bookmarkEnd w:id="97"/>
    </w:p>
    <w:p>
      <w:pPr>
        <w:spacing w:line="600" w:lineRule="exact"/>
        <w:ind w:firstLine="640"/>
        <w:rPr>
          <w:rFonts w:ascii="Times New Roman" w:eastAsia="仿宋_GB2312" w:cs="Times New Roman" w:hAnsi="Times New Roman"/>
          <w:sz w:val="32"/>
          <w:szCs w:val="32"/>
        </w:rPr>
      </w:pPr>
      <w:r>
        <w:rPr>
          <w:rFonts w:ascii="Times New Roman" w:eastAsia="仿宋_GB2312" w:cs="Times New Roman" w:hAnsi="Times New Roman"/>
          <w:color w:val="auto"/>
          <w:kern w:val="2"/>
          <w:sz w:val="32"/>
          <w:szCs w:val="32"/>
          <w:lang w:val="en-US" w:eastAsia="zh-CN" w:bidi="ar-SA"/>
          <w:highlight w:val="auto"/>
        </w:rPr>
        <w:t>2025年度，</w:t>
      </w:r>
      <w:r>
        <w:rPr>
          <w:rFonts w:ascii="Times New Roman" w:eastAsia="仿宋_GB2312" w:cs="Times New Roman" w:hAnsi="Times New Roman"/>
          <w:sz w:val="32"/>
          <w:szCs w:val="32"/>
        </w:rPr>
        <w:t>攀枝花市司法局</w:t>
      </w:r>
      <w:r>
        <w:rPr>
          <w:rFonts w:ascii="Times New Roman" w:eastAsia="仿宋_GB2312" w:cs="Times New Roman" w:hAnsi="Times New Roman"/>
          <w:color w:val="auto"/>
          <w:kern w:val="2"/>
          <w:sz w:val="32"/>
          <w:szCs w:val="32"/>
          <w:lang w:val="en-US" w:eastAsia="zh-CN" w:bidi="ar-SA"/>
          <w:highlight w:val="auto"/>
        </w:rPr>
        <w:t>机关运行经费支出</w:t>
      </w:r>
      <w:r>
        <w:rPr>
          <w:rFonts w:ascii="Times New Roman" w:eastAsia="仿宋_GB2312" w:cs="Times New Roman" w:hAnsi="Times New Roman"/>
          <w:sz w:val="32"/>
          <w:szCs w:val="32"/>
        </w:rPr>
        <w:t>212.24</w:t>
      </w:r>
      <w:r>
        <w:rPr>
          <w:rFonts w:ascii="Times New Roman" w:eastAsia="仿宋_GB2312" w:cs="Times New Roman" w:hAnsi="Times New Roman"/>
          <w:color w:val="auto"/>
          <w:kern w:val="2"/>
          <w:sz w:val="32"/>
          <w:szCs w:val="32"/>
          <w:lang w:val="en-US" w:eastAsia="zh-CN" w:bidi="ar-SA"/>
          <w:highlight w:val="auto"/>
        </w:rPr>
        <w:t>万元，比上年度增加1.16万元，增长0.5%。主要原因是办公费、物业管理费和其他交通费用较上一年度有所增加。</w:t>
      </w:r>
    </w:p>
    <w:p>
      <w:pPr>
        <w:spacing w:line="600" w:lineRule="exact"/>
        <w:ind w:firstLine="640"/>
        <w:rPr>
          <w:rFonts w:ascii="Times New Roman" w:eastAsia="仿宋_GB2312" w:cs="Times New Roman" w:hAnsi="Times New Roman"/>
          <w:sz w:val="32"/>
          <w:szCs w:val="32"/>
        </w:rPr>
      </w:pPr>
    </w:p>
    <w:p>
      <w:pPr>
        <w:spacing w:line="600" w:lineRule="exact"/>
        <w:ind w:firstLineChars="200" w:firstLine="640"/>
        <w:outlineLvl w:val="2"/>
        <w:rPr>
          <w:rFonts w:ascii="Times New Roman" w:eastAsia="楷体_GB2312" w:cs="Times New Roman" w:hAnsi="Times New Roman"/>
          <w:b/>
          <w:sz w:val="32"/>
          <w:szCs w:val="32"/>
        </w:rPr>
      </w:pPr>
      <w:bookmarkStart w:id="98" w:name="_Toc15377223"/>
      <w:r>
        <w:rPr>
          <w:rFonts w:ascii="Times New Roman" w:eastAsia="楷体_GB2312" w:cs="Times New Roman" w:hAnsi="Times New Roman"/>
          <w:b/>
          <w:sz w:val="32"/>
          <w:szCs w:val="32"/>
        </w:rPr>
        <w:t>（二）政府采购支出情况</w:t>
      </w:r>
      <w:bookmarkEnd w:id="98"/>
    </w:p>
    <w:p>
      <w:pPr>
        <w:spacing w:line="600" w:lineRule="exact"/>
        <w:ind w:firstLine="640"/>
        <w:rPr>
          <w:rFonts w:ascii="Times New Roman" w:eastAsia="仿宋_GB2312" w:cs="Times New Roman" w:hAnsi="Times New Roman"/>
          <w:color w:val="auto"/>
          <w:kern w:val="2"/>
          <w:sz w:val="32"/>
          <w:szCs w:val="32"/>
          <w:lang w:val="en-US" w:eastAsia="zh-CN" w:bidi="ar-SA"/>
          <w:highlight w:val="auto"/>
        </w:rPr>
      </w:pPr>
      <w:r>
        <w:rPr>
          <w:rFonts w:ascii="Times New Roman" w:eastAsia="仿宋_GB2312" w:cs="Times New Roman" w:hAnsi="Times New Roman"/>
          <w:color w:val="auto"/>
          <w:kern w:val="2"/>
          <w:sz w:val="32"/>
          <w:szCs w:val="32"/>
          <w:lang w:val="en-US" w:eastAsia="zh-CN" w:bidi="ar-SA"/>
          <w:highlight w:val="auto"/>
        </w:rPr>
        <w:t>2025年度，</w:t>
      </w:r>
      <w:r>
        <w:rPr>
          <w:rFonts w:ascii="Times New Roman" w:eastAsia="仿宋_GB2312" w:cs="Times New Roman" w:hAnsi="Times New Roman"/>
          <w:sz w:val="32"/>
          <w:szCs w:val="32"/>
        </w:rPr>
        <w:t>攀枝花市司法局</w:t>
      </w:r>
      <w:r>
        <w:rPr>
          <w:rFonts w:ascii="Times New Roman" w:eastAsia="仿宋_GB2312" w:cs="Times New Roman" w:hAnsi="Times New Roman"/>
          <w:color w:val="auto"/>
          <w:kern w:val="2"/>
          <w:sz w:val="32"/>
          <w:szCs w:val="32"/>
          <w:lang w:val="en-US" w:eastAsia="zh-CN" w:bidi="ar-SA"/>
          <w:highlight w:val="auto"/>
        </w:rPr>
        <w:t>政府采购支出总额</w:t>
      </w:r>
      <w:r>
        <w:rPr>
          <w:rFonts w:ascii="Times New Roman" w:eastAsia="仿宋_GB2312" w:cs="Times New Roman" w:hAnsi="Times New Roman"/>
          <w:sz w:val="32"/>
          <w:szCs w:val="32"/>
        </w:rPr>
        <w:t>6.16</w:t>
      </w:r>
      <w:r>
        <w:rPr>
          <w:rFonts w:ascii="Times New Roman" w:eastAsia="仿宋_GB2312" w:cs="Times New Roman" w:hAnsi="Times New Roman"/>
          <w:color w:val="auto"/>
          <w:kern w:val="2"/>
          <w:sz w:val="32"/>
          <w:szCs w:val="32"/>
          <w:lang w:val="en-US" w:eastAsia="zh-CN" w:bidi="ar-SA"/>
          <w:highlight w:val="auto"/>
        </w:rPr>
        <w:t>万元，其中：政府采购货物支出</w:t>
      </w:r>
      <w:r>
        <w:rPr>
          <w:rFonts w:ascii="Times New Roman" w:eastAsia="仿宋_GB2312" w:cs="Times New Roman" w:hAnsi="Times New Roman"/>
          <w:sz w:val="32"/>
          <w:szCs w:val="32"/>
        </w:rPr>
        <w:t>0</w:t>
      </w:r>
      <w:r>
        <w:rPr>
          <w:rFonts w:ascii="Times New Roman" w:eastAsia="仿宋_GB2312" w:cs="Times New Roman" w:hAnsi="Times New Roman"/>
          <w:color w:val="auto"/>
          <w:kern w:val="2"/>
          <w:sz w:val="32"/>
          <w:szCs w:val="32"/>
          <w:lang w:val="en-US" w:eastAsia="zh-CN" w:bidi="ar-SA"/>
          <w:highlight w:val="auto"/>
        </w:rPr>
        <w:t>万元、政府采购工程支出</w:t>
      </w:r>
      <w:r>
        <w:rPr>
          <w:rFonts w:ascii="Times New Roman" w:eastAsia="仿宋_GB2312" w:cs="Times New Roman" w:hAnsi="Times New Roman"/>
          <w:sz w:val="32"/>
          <w:szCs w:val="32"/>
        </w:rPr>
        <w:t>0</w:t>
      </w:r>
      <w:r>
        <w:rPr>
          <w:rFonts w:ascii="Times New Roman" w:eastAsia="仿宋_GB2312" w:cs="Times New Roman" w:hAnsi="Times New Roman"/>
          <w:color w:val="auto"/>
          <w:kern w:val="2"/>
          <w:sz w:val="32"/>
          <w:szCs w:val="32"/>
          <w:lang w:val="en-US" w:eastAsia="zh-CN" w:bidi="ar-SA"/>
          <w:highlight w:val="auto"/>
        </w:rPr>
        <w:t>万元、政府采购服务支出</w:t>
      </w:r>
      <w:r>
        <w:rPr>
          <w:rFonts w:ascii="Times New Roman" w:eastAsia="仿宋_GB2312" w:cs="Times New Roman" w:hAnsi="Times New Roman"/>
          <w:sz w:val="32"/>
          <w:szCs w:val="32"/>
        </w:rPr>
        <w:t>6.16</w:t>
      </w:r>
      <w:r>
        <w:rPr>
          <w:rFonts w:ascii="Times New Roman" w:eastAsia="仿宋_GB2312" w:cs="Times New Roman" w:hAnsi="Times New Roman"/>
          <w:color w:val="auto"/>
          <w:kern w:val="2"/>
          <w:sz w:val="32"/>
          <w:szCs w:val="32"/>
          <w:lang w:val="en-US" w:eastAsia="zh-CN" w:bidi="ar-SA"/>
          <w:highlight w:val="auto"/>
        </w:rPr>
        <w:t>万元。</w:t>
      </w:r>
      <w:r>
        <w:rPr>
          <w:rFonts w:ascii="Times New Roman" w:eastAsia="仿宋_GB2312" w:cs="Times New Roman" w:hAnsi="Times New Roman"/>
          <w:color w:val="auto"/>
          <w:sz w:val="32"/>
          <w:szCs w:val="32"/>
          <w:highlight w:val="auto"/>
        </w:rPr>
        <w:t>主要用于</w:t>
      </w:r>
      <w:r>
        <w:rPr>
          <w:rFonts w:ascii="Times New Roman" w:eastAsia="仿宋_GB2312" w:cs="Times New Roman" w:hAnsi="Times New Roman"/>
          <w:color w:val="auto"/>
          <w:sz w:val="32"/>
          <w:szCs w:val="32"/>
          <w:lang w:val="en-US" w:eastAsia="zh-CN"/>
          <w:highlight w:val="auto"/>
        </w:rPr>
        <w:t>公务车辆维修、加油、保险</w:t>
      </w:r>
      <w:r>
        <w:rPr>
          <w:rFonts w:ascii="Times New Roman" w:eastAsia="仿宋_GB2312" w:cs="Times New Roman" w:hAnsi="Times New Roman"/>
          <w:color w:val="auto"/>
          <w:sz w:val="32"/>
          <w:szCs w:val="32"/>
          <w:highlight w:val="auto"/>
        </w:rPr>
        <w:t>。</w:t>
      </w:r>
      <w:r>
        <w:rPr>
          <w:rFonts w:ascii="Times New Roman" w:eastAsia="仿宋_GB2312" w:cs="Times New Roman" w:hAnsi="Times New Roman"/>
          <w:color w:val="auto"/>
          <w:kern w:val="2"/>
          <w:sz w:val="32"/>
          <w:szCs w:val="32"/>
          <w:lang w:val="en-US" w:eastAsia="zh-CN" w:bidi="ar-SA"/>
          <w:highlight w:val="auto"/>
        </w:rPr>
        <w:t>授予中小企业合同金额</w:t>
      </w:r>
      <w:r>
        <w:rPr>
          <w:rFonts w:ascii="Times New Roman" w:eastAsia="仿宋_GB2312" w:cs="Times New Roman" w:hAnsi="Times New Roman"/>
          <w:sz w:val="32"/>
          <w:szCs w:val="32"/>
        </w:rPr>
        <w:t>5</w:t>
      </w:r>
      <w:r>
        <w:rPr>
          <w:rFonts w:ascii="Times New Roman" w:eastAsia="仿宋_GB2312" w:cs="Times New Roman" w:hAnsi="Times New Roman"/>
          <w:color w:val="auto"/>
          <w:kern w:val="2"/>
          <w:sz w:val="32"/>
          <w:szCs w:val="32"/>
          <w:lang w:val="en-US" w:eastAsia="zh-CN" w:bidi="ar-SA"/>
          <w:highlight w:val="auto"/>
        </w:rPr>
        <w:t>万元，占政府采购支出总额的</w:t>
      </w:r>
      <w:r>
        <w:rPr>
          <w:rFonts w:ascii="Times New Roman" w:eastAsia="仿宋_GB2312" w:cs="Times New Roman" w:hAnsi="Times New Roman"/>
          <w:sz w:val="32"/>
          <w:szCs w:val="32"/>
        </w:rPr>
        <w:t>81.</w:t>
      </w:r>
      <w:r>
        <w:rPr>
          <w:rFonts w:ascii="Times New Roman" w:eastAsia="仿宋_GB2312" w:cs="Times New Roman" w:hAnsi="Times New Roman"/>
          <w:sz w:val="32"/>
          <w:szCs w:val="32"/>
          <w:lang w:val="en-US" w:eastAsia="zh-CN"/>
        </w:rPr>
        <w:t>2</w:t>
      </w:r>
      <w:r>
        <w:rPr>
          <w:rFonts w:ascii="Times New Roman" w:eastAsia="仿宋_GB2312" w:cs="Times New Roman" w:hAnsi="Times New Roman"/>
          <w:color w:val="auto"/>
          <w:kern w:val="2"/>
          <w:sz w:val="32"/>
          <w:szCs w:val="32"/>
          <w:lang w:val="en-US" w:eastAsia="zh-CN" w:bidi="ar-SA"/>
          <w:highlight w:val="auto"/>
        </w:rPr>
        <w:t>%，其中：授予小微企业合同金额</w:t>
      </w:r>
      <w:r>
        <w:rPr>
          <w:rFonts w:ascii="Times New Roman" w:eastAsia="仿宋_GB2312" w:cs="Times New Roman" w:hAnsi="Times New Roman"/>
          <w:sz w:val="32"/>
          <w:szCs w:val="32"/>
          <w:lang w:val="en-US" w:eastAsia="zh-CN"/>
        </w:rPr>
        <w:t>2</w:t>
      </w:r>
      <w:r>
        <w:rPr>
          <w:rFonts w:ascii="Times New Roman" w:eastAsia="仿宋_GB2312" w:cs="Times New Roman" w:hAnsi="Times New Roman"/>
          <w:color w:val="auto"/>
          <w:kern w:val="2"/>
          <w:sz w:val="32"/>
          <w:szCs w:val="32"/>
          <w:lang w:val="en-US" w:eastAsia="zh-CN" w:bidi="ar-SA"/>
          <w:highlight w:val="auto"/>
        </w:rPr>
        <w:t>万元，占政府采购支出总额的</w:t>
      </w:r>
      <w:r>
        <w:rPr>
          <w:rFonts w:ascii="Times New Roman" w:eastAsia="仿宋_GB2312" w:cs="Times New Roman" w:hAnsi="Times New Roman"/>
          <w:sz w:val="32"/>
          <w:szCs w:val="32"/>
          <w:lang w:val="en-US" w:eastAsia="zh-CN"/>
        </w:rPr>
        <w:t>32.5</w:t>
      </w:r>
      <w:r>
        <w:rPr>
          <w:rFonts w:ascii="Times New Roman" w:eastAsia="仿宋_GB2312" w:cs="Times New Roman" w:hAnsi="Times New Roman"/>
          <w:color w:val="auto"/>
          <w:kern w:val="2"/>
          <w:sz w:val="32"/>
          <w:szCs w:val="32"/>
          <w:lang w:val="en-US" w:eastAsia="zh-CN" w:bidi="ar-SA"/>
          <w:highlight w:val="auto"/>
        </w:rPr>
        <w:t>%。</w:t>
      </w:r>
    </w:p>
    <w:p>
      <w:pPr>
        <w:spacing w:line="600" w:lineRule="exact"/>
        <w:ind w:firstLine="640"/>
        <w:rPr>
          <w:rFonts w:ascii="Times New Roman" w:eastAsia="仿宋_GB2312" w:cs="Times New Roman" w:hAnsi="Times New Roman"/>
          <w:sz w:val="32"/>
          <w:szCs w:val="32"/>
        </w:rPr>
      </w:pPr>
    </w:p>
    <w:p>
      <w:pPr>
        <w:spacing w:line="600" w:lineRule="exact"/>
        <w:ind w:firstLineChars="200" w:firstLine="640"/>
        <w:outlineLvl w:val="2"/>
        <w:rPr>
          <w:rFonts w:ascii="Times New Roman" w:eastAsia="楷体_GB2312" w:cs="Times New Roman" w:hAnsi="Times New Roman"/>
          <w:b/>
          <w:sz w:val="32"/>
          <w:szCs w:val="32"/>
        </w:rPr>
      </w:pPr>
      <w:bookmarkStart w:id="99" w:name="_Toc15377224"/>
      <w:r>
        <w:rPr>
          <w:rFonts w:ascii="Times New Roman" w:eastAsia="楷体_GB2312" w:cs="Times New Roman" w:hAnsi="Times New Roman"/>
          <w:b/>
          <w:sz w:val="32"/>
          <w:szCs w:val="32"/>
        </w:rPr>
        <w:t>（三）国有资产占有使用情况</w:t>
      </w:r>
      <w:bookmarkEnd w:id="99"/>
    </w:p>
    <w:p>
      <w:pPr>
        <w:spacing w:line="600" w:lineRule="exact"/>
        <w:ind w:firstLine="640"/>
        <w:rPr>
          <w:rFonts w:ascii="Times New Roman" w:eastAsia="仿宋_GB2312" w:cs="Times New Roman" w:hAnsi="Times New Roman"/>
          <w:color w:val="auto"/>
          <w:kern w:val="2"/>
          <w:sz w:val="32"/>
          <w:szCs w:val="32"/>
          <w:lang w:val="en-US" w:eastAsia="zh-CN" w:bidi="ar-SA"/>
          <w:highlight w:val="auto"/>
        </w:rPr>
      </w:pPr>
      <w:r>
        <w:rPr>
          <w:rFonts w:ascii="Times New Roman" w:eastAsia="仿宋_GB2312" w:cs="Times New Roman" w:hAnsi="Times New Roman"/>
          <w:color w:val="auto"/>
          <w:kern w:val="2"/>
          <w:sz w:val="32"/>
          <w:szCs w:val="32"/>
          <w:lang w:val="en-US" w:eastAsia="zh-CN" w:bidi="ar-SA"/>
          <w:highlight w:val="auto"/>
        </w:rPr>
        <w:t>截至2025年12月31日，</w:t>
      </w:r>
      <w:r>
        <w:rPr>
          <w:rFonts w:ascii="Times New Roman" w:eastAsia="仿宋_GB2312" w:cs="Times New Roman" w:hAnsi="Times New Roman"/>
          <w:sz w:val="32"/>
          <w:szCs w:val="32"/>
        </w:rPr>
        <w:t>攀枝花市司法局</w:t>
      </w:r>
      <w:r>
        <w:rPr>
          <w:rFonts w:ascii="Times New Roman" w:eastAsia="仿宋_GB2312" w:cs="Times New Roman" w:hAnsi="Times New Roman"/>
          <w:color w:val="auto"/>
          <w:kern w:val="2"/>
          <w:sz w:val="32"/>
          <w:szCs w:val="32"/>
          <w:lang w:val="en-US" w:eastAsia="zh-CN" w:bidi="ar-SA"/>
          <w:highlight w:val="auto"/>
        </w:rPr>
        <w:t>共有车辆</w:t>
      </w:r>
      <w:r>
        <w:rPr>
          <w:rFonts w:ascii="Times New Roman" w:eastAsia="仿宋_GB2312" w:cs="Times New Roman" w:hAnsi="Times New Roman"/>
          <w:sz w:val="32"/>
          <w:szCs w:val="32"/>
        </w:rPr>
        <w:t>5</w:t>
      </w:r>
      <w:r>
        <w:rPr>
          <w:rFonts w:ascii="Times New Roman" w:eastAsia="仿宋_GB2312" w:cs="Times New Roman" w:hAnsi="Times New Roman"/>
          <w:color w:val="auto"/>
          <w:kern w:val="2"/>
          <w:sz w:val="32"/>
          <w:szCs w:val="32"/>
          <w:lang w:val="en-US" w:eastAsia="zh-CN" w:bidi="ar-SA"/>
          <w:highlight w:val="auto"/>
        </w:rPr>
        <w:t>辆，其中：副部（省）级及以上领导用车</w:t>
      </w:r>
      <w:r>
        <w:rPr>
          <w:rFonts w:ascii="Times New Roman" w:eastAsia="仿宋_GB2312" w:cs="Times New Roman" w:hAnsi="Times New Roman"/>
          <w:sz w:val="32"/>
          <w:szCs w:val="32"/>
        </w:rPr>
        <w:t>0</w:t>
      </w:r>
      <w:r>
        <w:rPr>
          <w:rFonts w:ascii="Times New Roman" w:eastAsia="仿宋_GB2312" w:cs="Times New Roman" w:hAnsi="Times New Roman"/>
          <w:color w:val="auto"/>
          <w:kern w:val="2"/>
          <w:sz w:val="32"/>
          <w:szCs w:val="32"/>
          <w:lang w:val="en-US" w:eastAsia="zh-CN" w:bidi="ar-SA"/>
          <w:highlight w:val="auto"/>
        </w:rPr>
        <w:t>辆、主要负责人用车</w:t>
      </w:r>
      <w:r>
        <w:rPr>
          <w:rFonts w:ascii="Times New Roman" w:eastAsia="仿宋_GB2312" w:cs="Times New Roman" w:hAnsi="Times New Roman"/>
          <w:sz w:val="32"/>
          <w:szCs w:val="32"/>
        </w:rPr>
        <w:t>0</w:t>
      </w:r>
      <w:r>
        <w:rPr>
          <w:rFonts w:ascii="Times New Roman" w:eastAsia="仿宋_GB2312" w:cs="Times New Roman" w:hAnsi="Times New Roman"/>
          <w:color w:val="auto"/>
          <w:kern w:val="2"/>
          <w:sz w:val="32"/>
          <w:szCs w:val="32"/>
          <w:lang w:val="en-US" w:eastAsia="zh-CN" w:bidi="ar-SA"/>
          <w:highlight w:val="auto"/>
        </w:rPr>
        <w:t>辆、机要通信用车</w:t>
      </w:r>
      <w:r>
        <w:rPr>
          <w:rFonts w:ascii="Times New Roman" w:eastAsia="仿宋_GB2312" w:cs="Times New Roman" w:hAnsi="Times New Roman"/>
          <w:sz w:val="32"/>
          <w:szCs w:val="32"/>
        </w:rPr>
        <w:t>0</w:t>
      </w:r>
      <w:r>
        <w:rPr>
          <w:rFonts w:ascii="Times New Roman" w:eastAsia="仿宋_GB2312" w:cs="Times New Roman" w:hAnsi="Times New Roman"/>
          <w:color w:val="auto"/>
          <w:kern w:val="2"/>
          <w:sz w:val="32"/>
          <w:szCs w:val="32"/>
          <w:lang w:val="en-US" w:eastAsia="zh-CN" w:bidi="ar-SA"/>
          <w:highlight w:val="auto"/>
        </w:rPr>
        <w:t>辆、应急保障用车</w:t>
      </w:r>
      <w:r>
        <w:rPr>
          <w:rFonts w:ascii="Times New Roman" w:eastAsia="仿宋_GB2312" w:cs="Times New Roman" w:hAnsi="Times New Roman"/>
          <w:sz w:val="32"/>
          <w:szCs w:val="32"/>
        </w:rPr>
        <w:t>0</w:t>
      </w:r>
      <w:r>
        <w:rPr>
          <w:rFonts w:ascii="Times New Roman" w:eastAsia="仿宋_GB2312" w:cs="Times New Roman" w:hAnsi="Times New Roman"/>
          <w:color w:val="auto"/>
          <w:kern w:val="2"/>
          <w:sz w:val="32"/>
          <w:szCs w:val="32"/>
          <w:lang w:val="en-US" w:eastAsia="zh-CN" w:bidi="ar-SA"/>
          <w:highlight w:val="auto"/>
        </w:rPr>
        <w:t>辆、执法执勤用车</w:t>
      </w:r>
      <w:r>
        <w:rPr>
          <w:rFonts w:ascii="Times New Roman" w:eastAsia="仿宋_GB2312" w:cs="Times New Roman" w:hAnsi="Times New Roman"/>
          <w:sz w:val="32"/>
          <w:szCs w:val="32"/>
        </w:rPr>
        <w:t>3</w:t>
      </w:r>
      <w:r>
        <w:rPr>
          <w:rFonts w:ascii="Times New Roman" w:eastAsia="仿宋_GB2312" w:cs="Times New Roman" w:hAnsi="Times New Roman"/>
          <w:color w:val="auto"/>
          <w:kern w:val="2"/>
          <w:sz w:val="32"/>
          <w:szCs w:val="32"/>
          <w:lang w:val="en-US" w:eastAsia="zh-CN" w:bidi="ar-SA"/>
          <w:highlight w:val="auto"/>
        </w:rPr>
        <w:t>辆、特种专业技术用车</w:t>
      </w:r>
      <w:r>
        <w:rPr>
          <w:rFonts w:ascii="Times New Roman" w:eastAsia="仿宋_GB2312" w:cs="Times New Roman" w:hAnsi="Times New Roman"/>
          <w:sz w:val="32"/>
          <w:szCs w:val="32"/>
        </w:rPr>
        <w:t>1</w:t>
      </w:r>
      <w:r>
        <w:rPr>
          <w:rFonts w:ascii="Times New Roman" w:eastAsia="仿宋_GB2312" w:cs="Times New Roman" w:hAnsi="Times New Roman"/>
          <w:color w:val="auto"/>
          <w:kern w:val="2"/>
          <w:sz w:val="32"/>
          <w:szCs w:val="32"/>
          <w:lang w:val="en-US" w:eastAsia="zh-CN" w:bidi="ar-SA"/>
          <w:highlight w:val="auto"/>
        </w:rPr>
        <w:t>辆、离退休干部服务用车</w:t>
      </w:r>
      <w:r>
        <w:rPr>
          <w:rFonts w:ascii="Times New Roman" w:eastAsia="仿宋_GB2312" w:cs="Times New Roman" w:hAnsi="Times New Roman"/>
          <w:sz w:val="32"/>
          <w:szCs w:val="32"/>
        </w:rPr>
        <w:t>0</w:t>
      </w:r>
      <w:r>
        <w:rPr>
          <w:rFonts w:ascii="Times New Roman" w:eastAsia="仿宋_GB2312" w:cs="Times New Roman" w:hAnsi="Times New Roman"/>
          <w:color w:val="auto"/>
          <w:kern w:val="2"/>
          <w:sz w:val="32"/>
          <w:szCs w:val="32"/>
          <w:lang w:val="en-US" w:eastAsia="zh-CN" w:bidi="ar-SA"/>
          <w:highlight w:val="auto"/>
        </w:rPr>
        <w:t>辆、其他用车</w:t>
      </w:r>
      <w:r>
        <w:rPr>
          <w:rFonts w:ascii="Times New Roman" w:eastAsia="仿宋_GB2312" w:cs="Times New Roman" w:hAnsi="Times New Roman"/>
          <w:sz w:val="32"/>
          <w:szCs w:val="32"/>
        </w:rPr>
        <w:t>1</w:t>
      </w:r>
      <w:r>
        <w:rPr>
          <w:rFonts w:ascii="Times New Roman" w:eastAsia="仿宋_GB2312" w:cs="Times New Roman" w:hAnsi="Times New Roman"/>
          <w:color w:val="auto"/>
          <w:kern w:val="2"/>
          <w:sz w:val="32"/>
          <w:szCs w:val="32"/>
          <w:lang w:val="en-US" w:eastAsia="zh-CN" w:bidi="ar-SA"/>
          <w:highlight w:val="auto"/>
        </w:rPr>
        <w:t>辆，其他用车主要是用于攀枝花公证处开展公证业务用车。单价100万元（含）以上设备（不含车辆）</w:t>
      </w:r>
      <w:r>
        <w:rPr>
          <w:rFonts w:ascii="Times New Roman" w:eastAsia="仿宋_GB2312" w:cs="Times New Roman" w:hAnsi="Times New Roman"/>
          <w:sz w:val="32"/>
          <w:szCs w:val="32"/>
        </w:rPr>
        <w:t>0</w:t>
      </w:r>
      <w:r>
        <w:rPr>
          <w:rFonts w:ascii="Times New Roman" w:eastAsia="仿宋_GB2312" w:cs="Times New Roman" w:hAnsi="Times New Roman"/>
          <w:color w:val="auto"/>
          <w:kern w:val="2"/>
          <w:sz w:val="32"/>
          <w:szCs w:val="32"/>
          <w:lang w:val="en-US" w:eastAsia="zh-CN" w:bidi="ar-SA"/>
          <w:highlight w:val="auto"/>
        </w:rPr>
        <w:t>台（套）。</w:t>
      </w:r>
    </w:p>
    <w:p>
      <w:pPr>
        <w:spacing w:line="600" w:lineRule="exact"/>
        <w:ind w:firstLine="640"/>
        <w:rPr>
          <w:rFonts w:ascii="Times New Roman" w:eastAsia="仿宋_GB2312" w:cs="Times New Roman" w:hAnsi="Times New Roman"/>
          <w:sz w:val="32"/>
          <w:szCs w:val="32"/>
        </w:rPr>
      </w:pPr>
    </w:p>
    <w:p>
      <w:pPr>
        <w:spacing w:line="600" w:lineRule="exact"/>
        <w:ind w:firstLineChars="200" w:firstLine="640"/>
        <w:outlineLvl w:val="2"/>
        <w:rPr>
          <w:rFonts w:ascii="Times New Roman" w:eastAsia="楷体_GB2312" w:cs="Times New Roman" w:hAnsi="Times New Roman"/>
          <w:b/>
          <w:sz w:val="32"/>
          <w:szCs w:val="32"/>
        </w:rPr>
      </w:pPr>
      <w:r>
        <w:rPr>
          <w:rFonts w:ascii="Times New Roman" w:eastAsia="楷体_GB2312" w:cs="Times New Roman" w:hAnsi="Times New Roman"/>
          <w:b/>
          <w:sz w:val="32"/>
          <w:szCs w:val="32"/>
        </w:rPr>
        <w:t>（四）预算绩效管理情况</w:t>
      </w:r>
    </w:p>
    <w:p>
      <w:pPr>
        <w:spacing w:line="580" w:lineRule="exact"/>
        <w:ind w:firstLineChars="200" w:firstLine="640"/>
        <w:rPr>
          <w:rFonts w:ascii="Times New Roman" w:eastAsia="仿宋_GB2312" w:cs="Times New Roman" w:hAnsi="Times New Roman"/>
          <w:sz w:val="32"/>
          <w:szCs w:val="32"/>
          <w:highlight w:val="auto"/>
        </w:rPr>
      </w:pPr>
      <w:r>
        <w:rPr>
          <w:rFonts w:ascii="Times New Roman" w:eastAsia="仿宋_GB2312" w:cs="Times New Roman" w:hAnsi="Times New Roman"/>
          <w:sz w:val="32"/>
          <w:szCs w:val="32"/>
        </w:rPr>
        <w:t>根据预算绩效管理要求，本部门在202</w:t>
      </w:r>
      <w:r>
        <w:rPr>
          <w:rFonts w:ascii="Times New Roman" w:eastAsia="仿宋_GB2312" w:cs="Times New Roman" w:hAnsi="Times New Roman"/>
          <w:sz w:val="32"/>
          <w:szCs w:val="32"/>
          <w:lang w:val="en-US" w:eastAsia="zh-CN"/>
        </w:rPr>
        <w:t>5</w:t>
      </w:r>
      <w:r>
        <w:rPr>
          <w:rFonts w:ascii="Times New Roman" w:eastAsia="仿宋_GB2312" w:cs="Times New Roman" w:hAnsi="Times New Roman"/>
          <w:sz w:val="32"/>
          <w:szCs w:val="32"/>
        </w:rPr>
        <w:t>年度预算编制阶段，</w:t>
      </w:r>
      <w:r>
        <w:rPr>
          <w:rFonts w:ascii="Times New Roman" w:eastAsia="仿宋_GB2312" w:cs="Times New Roman" w:hAnsi="Times New Roman"/>
          <w:sz w:val="32"/>
          <w:szCs w:val="32"/>
          <w:highlight w:val="auto"/>
        </w:rPr>
        <w:t>组织对</w:t>
      </w:r>
      <w:r>
        <w:rPr>
          <w:rFonts w:ascii="Times New Roman" w:eastAsia="仿宋_GB2312" w:cs="Times New Roman" w:hAnsi="Times New Roman"/>
          <w:sz w:val="32"/>
          <w:szCs w:val="32"/>
          <w:lang w:val="en-US" w:eastAsia="zh-CN"/>
          <w:highlight w:val="auto"/>
        </w:rPr>
        <w:t>12</w:t>
      </w:r>
      <w:r>
        <w:rPr>
          <w:rFonts w:ascii="Times New Roman" w:eastAsia="仿宋_GB2312" w:cs="Times New Roman" w:hAnsi="Times New Roman"/>
          <w:sz w:val="32"/>
          <w:szCs w:val="32"/>
          <w:highlight w:val="auto"/>
        </w:rPr>
        <w:t>个项目编制了绩效目标，预算执行过程中，选取</w:t>
      </w:r>
      <w:r>
        <w:rPr>
          <w:rFonts w:ascii="Times New Roman" w:eastAsia="仿宋_GB2312" w:cs="Times New Roman" w:hAnsi="Times New Roman"/>
          <w:sz w:val="32"/>
          <w:szCs w:val="32"/>
          <w:lang w:val="en-US" w:eastAsia="zh-CN"/>
          <w:highlight w:val="auto"/>
        </w:rPr>
        <w:t>12</w:t>
      </w:r>
      <w:r>
        <w:rPr>
          <w:rFonts w:ascii="Times New Roman" w:eastAsia="仿宋_GB2312" w:cs="Times New Roman" w:hAnsi="Times New Roman"/>
          <w:sz w:val="32"/>
          <w:szCs w:val="32"/>
          <w:highlight w:val="auto"/>
        </w:rPr>
        <w:t>个项目开展绩效监控。</w:t>
      </w:r>
    </w:p>
    <w:p>
      <w:pPr>
        <w:pStyle w:val="16"/>
        <w:spacing w:line="360" w:lineRule="auto"/>
        <w:ind w:firstLineChars="200" w:firstLine="640"/>
        <w:rPr>
          <w:rFonts w:ascii="Times New Roman" w:eastAsia="仿宋_GB2312" w:cs="Times New Roman" w:hAnsi="Times New Roman"/>
          <w:sz w:val="32"/>
          <w:szCs w:val="32"/>
          <w:highlight w:val="yellow"/>
        </w:rPr>
      </w:pPr>
      <w:r>
        <w:rPr>
          <w:rFonts w:ascii="Times New Roman" w:cs="Times New Roman" w:hAnsi="Times New Roman"/>
          <w:sz w:val="32"/>
          <w:szCs w:val="32"/>
          <w:lang w:val="en-US" w:eastAsia="zh-CN"/>
          <w:highlight w:val="auto"/>
        </w:rPr>
        <w:t>2025年度</w:t>
      </w:r>
      <w:r>
        <w:rPr>
          <w:rFonts w:ascii="Times New Roman" w:cs="Times New Roman" w:hAnsi="Times New Roman"/>
          <w:sz w:val="32"/>
          <w:szCs w:val="32"/>
          <w:lang w:eastAsia="zh-CN"/>
          <w:highlight w:val="auto"/>
        </w:rPr>
        <w:t>本部门无政府性基金预算、</w:t>
      </w:r>
      <w:r>
        <w:rPr>
          <w:rFonts w:ascii="Times New Roman" w:eastAsia="仿宋_GB2312" w:cs="Times New Roman" w:hAnsi="Times New Roman"/>
          <w:sz w:val="32"/>
          <w:szCs w:val="32"/>
        </w:rPr>
        <w:t>国有资本经营预算、社会保险基金预算以及资本资产、债券资金</w:t>
      </w:r>
      <w:r>
        <w:rPr>
          <w:rFonts w:ascii="Times New Roman" w:cs="Times New Roman" w:hAnsi="Times New Roman"/>
          <w:sz w:val="32"/>
          <w:szCs w:val="32"/>
          <w:lang w:eastAsia="zh-CN"/>
        </w:rPr>
        <w:t>。</w:t>
      </w:r>
      <w:r>
        <w:rPr>
          <w:rFonts w:ascii="Times New Roman" w:eastAsia="仿宋_GB2312" w:cs="Times New Roman" w:hAnsi="Times New Roman"/>
          <w:sz w:val="32"/>
          <w:szCs w:val="32"/>
          <w:highlight w:val="auto"/>
        </w:rPr>
        <w:t>组织对202</w:t>
      </w:r>
      <w:r>
        <w:rPr>
          <w:rFonts w:ascii="Times New Roman" w:cs="Times New Roman" w:hAnsi="Times New Roman"/>
          <w:sz w:val="32"/>
          <w:szCs w:val="32"/>
          <w:lang w:val="en-US" w:eastAsia="zh-CN"/>
          <w:highlight w:val="auto"/>
        </w:rPr>
        <w:t>5</w:t>
      </w:r>
      <w:r>
        <w:rPr>
          <w:rFonts w:ascii="Times New Roman" w:eastAsia="仿宋_GB2312" w:cs="Times New Roman" w:hAnsi="Times New Roman"/>
          <w:sz w:val="32"/>
          <w:szCs w:val="32"/>
          <w:highlight w:val="auto"/>
        </w:rPr>
        <w:t>年度一般公共预算开展绩效自评，形成攀枝花市司法局部门整体（含部门预算项目）绩效自评报告</w:t>
      </w:r>
      <w:r>
        <w:rPr>
          <w:rFonts w:ascii="Times New Roman" w:eastAsia="仿宋_GB2312" w:cs="Times New Roman" w:hAnsi="Times New Roman"/>
          <w:sz w:val="32"/>
          <w:szCs w:val="32"/>
          <w:lang w:eastAsia="zh-CN"/>
          <w:highlight w:val="auto"/>
        </w:rPr>
        <w:t>，</w:t>
      </w:r>
      <w:r>
        <w:rPr>
          <w:rFonts w:ascii="Times New Roman" w:eastAsia="仿宋_GB2312" w:cs="Times New Roman" w:hAnsi="Times New Roman"/>
          <w:sz w:val="32"/>
          <w:szCs w:val="32"/>
          <w:highlight w:val="auto"/>
        </w:rPr>
        <w:t>部门整体（含部门预算项目）绩效自评得分为</w:t>
      </w:r>
      <w:r>
        <w:rPr>
          <w:rFonts w:ascii="Times New Roman" w:cs="Times New Roman" w:hAnsi="Times New Roman"/>
          <w:sz w:val="32"/>
          <w:szCs w:val="32"/>
          <w:lang w:val="en-US" w:eastAsia="zh-CN"/>
          <w:highlight w:val="auto"/>
        </w:rPr>
        <w:t>96.44</w:t>
      </w:r>
      <w:r>
        <w:rPr>
          <w:rFonts w:ascii="Times New Roman" w:eastAsia="仿宋_GB2312" w:cs="Times New Roman" w:hAnsi="Times New Roman"/>
          <w:sz w:val="32"/>
          <w:szCs w:val="32"/>
          <w:highlight w:val="auto"/>
        </w:rPr>
        <w:t>分，绩效自评综述：按照政府会计制度，攀枝花市司法</w:t>
      </w:r>
      <w:r>
        <w:rPr>
          <w:rFonts w:ascii="Times New Roman" w:eastAsia="仿宋_GB2312" w:cs="Times New Roman" w:hAnsi="Times New Roman"/>
          <w:sz w:val="32"/>
          <w:szCs w:val="32"/>
        </w:rPr>
        <w:t>局科学、合理编制部门预算和设定整体支出绩效目标，在预算执行过程中严格执行财经纪律相关规定，坚持预算执行和绩效目标过程监控，较好地完成了绩效目标管理各项要求，顺利完成了202</w:t>
      </w:r>
      <w:r>
        <w:rPr>
          <w:rFonts w:ascii="Times New Roman" w:cs="Times New Roman" w:hAnsi="Times New Roman"/>
          <w:sz w:val="32"/>
          <w:szCs w:val="32"/>
          <w:lang w:val="en-US" w:eastAsia="zh-CN"/>
        </w:rPr>
        <w:t>5</w:t>
      </w:r>
      <w:r>
        <w:rPr>
          <w:rFonts w:ascii="Times New Roman" w:eastAsia="仿宋_GB2312" w:cs="Times New Roman" w:hAnsi="Times New Roman"/>
          <w:sz w:val="32"/>
          <w:szCs w:val="32"/>
        </w:rPr>
        <w:t>年度部门整体支出绩效目标，充分发挥了财政资金效能，有效推动司法行政业务工作，高效统筹法治攀枝花建设，切实履行行政立法、行政执法、刑事执行和公共法律服务职能，积极化解社会矛盾纠纷，不断优化营商环境，护航攀枝花高质量发展建设共同富裕实验区。</w:t>
      </w:r>
      <w:r>
        <w:rPr>
          <w:rFonts w:ascii="Times New Roman" w:eastAsia="仿宋_GB2312" w:cs="Times New Roman" w:hAnsi="Times New Roman"/>
          <w:sz w:val="32"/>
          <w:szCs w:val="32"/>
          <w:highlight w:val="auto"/>
        </w:rPr>
        <w:t>绩效自评报告详见附件。</w:t>
      </w:r>
    </w:p>
    <w:p>
      <w:pPr>
        <w:spacing w:line="600" w:lineRule="exact"/>
        <w:ind w:firstLine="640"/>
        <w:rPr>
          <w:rFonts w:ascii="Times New Roman" w:eastAsia="仿宋_GB2312" w:cs="Times New Roman" w:hAnsi="Times New Roman"/>
          <w:sz w:val="32"/>
          <w:szCs w:val="32"/>
        </w:rPr>
      </w:pPr>
    </w:p>
    <w:p>
      <w:pPr>
        <w:spacing w:line="600" w:lineRule="exact"/>
        <w:ind w:firstLine="640"/>
        <w:rPr>
          <w:rFonts w:ascii="Times New Roman" w:eastAsia="仿宋_GB2312" w:cs="Times New Roman" w:hAnsi="Times New Roman"/>
          <w:sz w:val="32"/>
          <w:szCs w:val="32"/>
        </w:rPr>
      </w:pPr>
    </w:p>
    <w:p>
      <w:pPr>
        <w:spacing w:line="600" w:lineRule="exact"/>
        <w:jc w:val="center"/>
        <w:outlineLvl w:val="0"/>
        <w:rPr>
          <w:rFonts w:ascii="Times New Roman" w:eastAsia="黑体" w:cs="Times New Roman" w:hAnsi="Times New Roman"/>
          <w:sz w:val="44"/>
          <w:szCs w:val="44"/>
        </w:rPr>
      </w:pPr>
      <w:bookmarkStart w:id="100" w:name="_Toc1123705102_WPSOffice_Level1"/>
      <w:bookmarkStart w:id="101" w:name="_Toc15396613"/>
      <w:bookmarkStart w:id="102" w:name="_Toc15377225"/>
      <w:r>
        <w:rPr>
          <w:rFonts w:ascii="Times New Roman" w:eastAsia="黑体" w:cs="Times New Roman" w:hAnsi="Times New Roman"/>
          <w:sz w:val="44"/>
          <w:szCs w:val="44"/>
        </w:rPr>
        <w:t>第三部分  名词解释</w:t>
      </w:r>
      <w:bookmarkEnd w:id="100"/>
      <w:bookmarkEnd w:id="101"/>
      <w:bookmarkEnd w:id="102"/>
    </w:p>
    <w:p>
      <w:pPr>
        <w:spacing w:line="600" w:lineRule="exact"/>
        <w:jc w:val="left"/>
        <w:rPr>
          <w:rFonts w:ascii="Times New Roman" w:cs="Times New Roman" w:hAnsi="Times New Roman"/>
          <w:b/>
          <w:sz w:val="44"/>
          <w:szCs w:val="44"/>
        </w:rPr>
      </w:pPr>
    </w:p>
    <w:p>
      <w:pPr>
        <w:pStyle w:val="31"/>
        <w:spacing w:line="560"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1.财政拨款收入：指单位从同级财政部门取得的财政预算资金。</w:t>
      </w:r>
    </w:p>
    <w:p>
      <w:pPr>
        <w:pStyle w:val="31"/>
        <w:spacing w:line="560"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2.其他收入：指单位取得的除财政拨款收入以外的各项收入。主要是上级工作补助和非同级财政拨款等。</w:t>
      </w:r>
    </w:p>
    <w:p>
      <w:pPr>
        <w:pStyle w:val="31"/>
        <w:spacing w:line="560"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3.使用非财政拨款结余：指事业单位使用以前年度积累的非财政拨款结余弥补当年收支差额的金额。</w:t>
      </w:r>
    </w:p>
    <w:p>
      <w:pPr>
        <w:pStyle w:val="31"/>
        <w:spacing w:line="560"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4.年初结转和结余：指以前年度尚未完成、结转到本年按有关规定继续使用的资金。</w:t>
      </w:r>
    </w:p>
    <w:p>
      <w:pPr>
        <w:pStyle w:val="31"/>
        <w:spacing w:line="560"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5.结余分配：指事业单位按照会计制度规定缴纳的所得税、提取的专用结余以及转入非财政拨款结余的金额等。</w:t>
      </w:r>
    </w:p>
    <w:p>
      <w:pPr>
        <w:pStyle w:val="31"/>
        <w:spacing w:line="560"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6.年末结转和结余：指单位按有关规定结转到下年或以后年度继续使用的资金。</w:t>
      </w:r>
    </w:p>
    <w:p>
      <w:pPr>
        <w:pStyle w:val="31"/>
        <w:spacing w:line="560"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7.一般公共服务（类）组织事务（款）其他组织事务支出（项）: 指反映组织事务明细项以外其他用于中国共产党组织部门的事务支出。</w:t>
      </w:r>
    </w:p>
    <w:p>
      <w:pPr>
        <w:pStyle w:val="31"/>
        <w:spacing w:line="560"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8.公共安全（类）司法（款）行政运行（项）: 指反映行政单位（包括实行公务员管理的事业单位）的基本支出。</w:t>
      </w:r>
    </w:p>
    <w:p>
      <w:pPr>
        <w:pStyle w:val="31"/>
        <w:spacing w:line="560"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9. 公共安全（类）司法（款）一般行政管理事务（项）:指反映行政单位（包括实行公务员管理的事业单位）未单独设置项级科目的其他项目支出。</w:t>
      </w:r>
    </w:p>
    <w:p>
      <w:pPr>
        <w:pStyle w:val="31"/>
        <w:spacing w:line="560"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10. 公共安全（类）司法（款）律师公证管理（项）:指反映各级司法行政部门用于指导律师公证工作的支出和对享受财政补助的律师事务所、公证处等单位的补助。</w:t>
      </w:r>
    </w:p>
    <w:p>
      <w:pPr>
        <w:pStyle w:val="31"/>
        <w:spacing w:line="560"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11. 公共安全（类）司法（款）法律援助（项）: 指反映各级法律援助机构用于开展法律援助工作的支出。</w:t>
      </w:r>
    </w:p>
    <w:p>
      <w:pPr>
        <w:pStyle w:val="31"/>
        <w:spacing w:line="560"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12. 公共安全（类）司法（款）事业运行（项）:指反映事业单位的基本支出，不包括行政单位（包括实行公务员管理的事业单位）后勤服务中心、医务室等附属事业单位。</w:t>
      </w:r>
    </w:p>
    <w:p>
      <w:pPr>
        <w:pStyle w:val="31"/>
        <w:spacing w:line="560"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13.社会保障和就业支出（类）人力资源和社会保障管理事务（款）其他人力资源和社会保障管理事务支出（项）: 指反映人力资源和社会保障管理事务明细项以外的其他用于人力资源和社会保障管理事务方面的支出。</w:t>
      </w:r>
    </w:p>
    <w:p>
      <w:pPr>
        <w:pStyle w:val="31"/>
        <w:spacing w:line="560"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14.社会保障和就业支出（类）行政事业单位离退休（款）未归口管理的行政单位离退休（项）: 指反映未实行归口管理的行政单位（包括实行公务员管理的事业单位）开支的离退休支出。</w:t>
      </w:r>
    </w:p>
    <w:p>
      <w:pPr>
        <w:pStyle w:val="31"/>
        <w:spacing w:line="560"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15.社会保障和就业支出（类）行政事业单位离退休（款）机关事业单位基本养老保险缴费支出（项）: 指反映机关事业单位实施养老保险制度由单位缴纳的基本养老保险费支出。</w:t>
      </w:r>
    </w:p>
    <w:p>
      <w:pPr>
        <w:pStyle w:val="31"/>
        <w:spacing w:line="560"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16.社会保障和就业支出（类）抚恤（款）死亡抚恤（项）: 指反映按规定用于烈士和牺牲、病故人员家属的一次性和定期抚恤金以及丧葬补助费。</w:t>
      </w:r>
    </w:p>
    <w:p>
      <w:pPr>
        <w:pStyle w:val="31"/>
        <w:spacing w:line="560"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17.社会保障和就业支出（类）社会福利（款）儿童福利（项）: 指反映对儿童提供福利服务方面的支出。</w:t>
      </w:r>
    </w:p>
    <w:p>
      <w:pPr>
        <w:pStyle w:val="31"/>
        <w:spacing w:line="560"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18.医疗卫生与计划生育支出（类）公共卫生（款）重大公共卫生专项（项）:指反映重大疾病预防控制等重大公共卫生服务项目支出。</w:t>
      </w:r>
    </w:p>
    <w:p>
      <w:pPr>
        <w:pStyle w:val="31"/>
        <w:spacing w:line="560"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19.医疗卫生与计划生育支出（类）其他医疗卫生与计划生育支出（款）其他医疗卫生与计划生育支出（项）:指反映其他医疗卫生与计划生育支出明细项以外其他用于医疗卫生与计划生育方面的支出。</w:t>
      </w:r>
    </w:p>
    <w:p>
      <w:pPr>
        <w:pStyle w:val="31"/>
        <w:spacing w:line="560"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20.住房保障支出（类）住房改革支出（款）住房公积金（项）:指反映行政事业单位按人力资源和社会保障部、财政部规定的基本工资和津贴补贴以及规定比例为职工缴纳的住房公积金。</w:t>
      </w:r>
    </w:p>
    <w:p>
      <w:pPr>
        <w:pStyle w:val="31"/>
        <w:spacing w:line="560"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21.基本支出：指为保障机构正常运转、完成日常工作任务而发生的人员支出和公用支出。</w:t>
      </w:r>
    </w:p>
    <w:p>
      <w:pPr>
        <w:pStyle w:val="31"/>
        <w:spacing w:line="560"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22.项目支出：指在基本支出之外为完成特定行政任务和事业发展目标所发生的支出。</w:t>
      </w:r>
    </w:p>
    <w:p>
      <w:pPr>
        <w:pStyle w:val="31"/>
        <w:spacing w:line="560"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23.“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1"/>
        <w:spacing w:line="560"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24.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ascii="Times New Roman" w:eastAsia="仿宋_GB2312" w:cs="Times New Roman" w:hAnsi="Times New Roman"/>
          <w:b/>
          <w:bCs/>
          <w:sz w:val="32"/>
          <w:szCs w:val="32"/>
        </w:rPr>
      </w:pPr>
    </w:p>
    <w:p>
      <w:pPr>
        <w:spacing w:line="600" w:lineRule="exact"/>
        <w:jc w:val="center"/>
        <w:rPr>
          <w:rStyle w:val="1Char"/>
          <w:rFonts w:ascii="Times New Roman" w:eastAsia="黑体" w:cs="Times New Roman" w:hAnsi="Times New Roman"/>
          <w:b w:val="0"/>
        </w:rPr>
      </w:pPr>
      <w:bookmarkStart w:id="103" w:name="_Toc15377226"/>
      <w:r>
        <w:rPr>
          <w:rFonts w:ascii="Times New Roman" w:eastAsia="仿宋_GB2312" w:cs="Times New Roman" w:hAnsi="Times New Roman"/>
          <w:sz w:val="32"/>
          <w:szCs w:val="32"/>
        </w:rPr>
        <w:br w:type="page"/>
      </w:r>
      <w:bookmarkStart w:id="104" w:name="_Toc1154886502_WPSOffice_Level1"/>
      <w:bookmarkStart w:id="105" w:name="_Toc15396614"/>
      <w:r>
        <w:rPr>
          <w:rFonts w:ascii="Times New Roman" w:eastAsia="黑体" w:cs="Times New Roman" w:hAnsi="Times New Roman"/>
          <w:sz w:val="44"/>
          <w:szCs w:val="44"/>
        </w:rPr>
        <w:t>第四部分  附件</w:t>
      </w:r>
      <w:bookmarkEnd w:id="104"/>
      <w:bookmarkEnd w:id="105"/>
    </w:p>
    <w:p>
      <w:pPr>
        <w:spacing w:line="572" w:lineRule="exact"/>
        <w:jc w:val="left"/>
        <w:outlineLvl w:val="0"/>
        <w:rPr>
          <w:rFonts w:ascii="Times New Roman" w:eastAsia="黑体" w:cs="Times New Roman" w:hAnsi="Times New Roman"/>
          <w:color w:val="FF0000"/>
          <w:sz w:val="32"/>
          <w:szCs w:val="32"/>
        </w:rPr>
      </w:pPr>
    </w:p>
    <w:p>
      <w:pPr>
        <w:pStyle w:val="23"/>
        <w:rPr>
          <w:rFonts w:ascii="Times New Roman" w:cs="Times New Roman" w:hAnsi="Times New Roman"/>
        </w:rPr>
      </w:pPr>
    </w:p>
    <w:p>
      <w:pPr>
        <w:spacing w:line="572" w:lineRule="exact"/>
        <w:jc w:val="left"/>
        <w:outlineLvl w:val="0"/>
        <w:rPr>
          <w:rFonts w:ascii="Times New Roman" w:eastAsia="黑体" w:cs="Times New Roman" w:hAnsi="Times New Roman"/>
          <w:sz w:val="44"/>
          <w:szCs w:val="44"/>
        </w:rPr>
      </w:pPr>
      <w:r>
        <w:rPr>
          <w:rFonts w:ascii="Times New Roman" w:eastAsia="黑体" w:cs="Times New Roman" w:hAnsi="Times New Roman"/>
          <w:sz w:val="32"/>
          <w:szCs w:val="32"/>
        </w:rPr>
        <w:t>附件1</w:t>
      </w:r>
    </w:p>
    <w:p>
      <w:pPr>
        <w:widowControl/>
        <w:spacing w:line="578" w:lineRule="exact"/>
        <w:contextualSpacing/>
        <w:jc w:val="center"/>
        <w:rPr>
          <w:rFonts w:ascii="Times New Roman" w:eastAsia="方正小标宋简体" w:cs="Times New Roman" w:hAnsi="Times New Roman"/>
          <w:bCs/>
          <w:sz w:val="44"/>
          <w:szCs w:val="44"/>
          <w:shd w:val="clear" w:color="auto" w:fill="FFFFFF"/>
        </w:rPr>
      </w:pPr>
    </w:p>
    <w:p>
      <w:pPr>
        <w:widowControl/>
        <w:spacing w:line="0" w:lineRule="atLeast"/>
        <w:contextualSpacing/>
        <w:jc w:val="center"/>
        <w:rPr>
          <w:rFonts w:ascii="Times New Roman" w:eastAsia="方正小标宋简体" w:cs="Times New Roman" w:hAnsi="Times New Roman"/>
          <w:bCs/>
          <w:sz w:val="44"/>
          <w:szCs w:val="44"/>
          <w:shd w:val="clear" w:color="auto" w:fill="FFFFFF"/>
        </w:rPr>
      </w:pPr>
      <w:bookmarkStart w:id="106" w:name="_Toc1009423881_WPSOffice_Level2"/>
      <w:bookmarkStart w:id="107" w:name="_Toc1774668664_WPSOffice_Level2"/>
      <w:r>
        <w:rPr>
          <w:rFonts w:ascii="Times New Roman" w:eastAsia="方正小标宋简体" w:cs="Times New Roman" w:hAnsi="Times New Roman"/>
          <w:bCs/>
          <w:sz w:val="44"/>
          <w:szCs w:val="44"/>
          <w:shd w:val="clear" w:color="auto" w:fill="FFFFFF"/>
        </w:rPr>
        <w:t>攀枝花市司法局</w:t>
      </w:r>
      <w:bookmarkEnd w:id="106"/>
      <w:bookmarkEnd w:id="107"/>
    </w:p>
    <w:p>
      <w:pPr>
        <w:widowControl/>
        <w:spacing w:line="0" w:lineRule="atLeast"/>
        <w:contextualSpacing/>
        <w:jc w:val="center"/>
        <w:rPr>
          <w:rFonts w:ascii="Times New Roman" w:eastAsia="方正小标宋简体" w:cs="Times New Roman" w:hAnsi="Times New Roman"/>
          <w:bCs/>
          <w:sz w:val="44"/>
          <w:szCs w:val="44"/>
          <w:shd w:val="clear" w:color="auto" w:fill="FFFFFF"/>
        </w:rPr>
      </w:pPr>
      <w:bookmarkStart w:id="108" w:name="_Toc993662154_WPSOffice_Level2"/>
      <w:bookmarkStart w:id="109" w:name="_Toc1975655598_WPSOffice_Level2"/>
      <w:r>
        <w:rPr>
          <w:rFonts w:ascii="Times New Roman" w:eastAsia="方正小标宋简体" w:cs="Times New Roman" w:hAnsi="Times New Roman"/>
          <w:bCs/>
          <w:sz w:val="44"/>
          <w:szCs w:val="44"/>
          <w:shd w:val="clear" w:color="auto" w:fill="FFFFFF"/>
        </w:rPr>
        <w:t>202</w:t>
      </w:r>
      <w:r>
        <w:rPr>
          <w:rFonts w:ascii="Times New Roman" w:eastAsia="方正小标宋简体" w:cs="Times New Roman" w:hAnsi="Times New Roman"/>
          <w:bCs/>
          <w:sz w:val="44"/>
          <w:szCs w:val="44"/>
          <w:shd w:val="clear" w:color="auto" w:fill="FFFFFF"/>
          <w:lang w:val="en-US" w:eastAsia="zh-CN"/>
        </w:rPr>
        <w:t>5</w:t>
      </w:r>
      <w:r>
        <w:rPr>
          <w:rFonts w:ascii="Times New Roman" w:eastAsia="方正小标宋简体" w:cs="Times New Roman" w:hAnsi="Times New Roman"/>
          <w:bCs/>
          <w:sz w:val="44"/>
          <w:szCs w:val="44"/>
          <w:shd w:val="clear" w:color="auto" w:fill="FFFFFF"/>
        </w:rPr>
        <w:t>年度部门预算绩效自评报告</w:t>
      </w:r>
      <w:bookmarkEnd w:id="108"/>
      <w:bookmarkEnd w:id="109"/>
    </w:p>
    <w:p>
      <w:pPr>
        <w:widowControl/>
        <w:adjustRightInd w:val="0"/>
        <w:snapToGrid w:val="0"/>
        <w:spacing w:line="360" w:lineRule="auto"/>
        <w:ind w:firstLineChars="200" w:firstLine="640"/>
        <w:contextualSpacing/>
        <w:jc w:val="left"/>
        <w:rPr>
          <w:rFonts w:ascii="Times New Roman" w:eastAsia="黑体" w:cs="Times New Roman" w:hAnsi="Times New Roman"/>
          <w:color w:val="000000"/>
          <w:kern w:val="0"/>
          <w:sz w:val="32"/>
          <w:szCs w:val="32"/>
          <w:shd w:val="clear" w:color="auto" w:fill="FFFFFF"/>
        </w:rPr>
      </w:pPr>
    </w:p>
    <w:p>
      <w:pPr>
        <w:widowControl/>
        <w:adjustRightInd w:val="0"/>
        <w:snapToGrid w:val="0"/>
        <w:spacing w:line="360" w:lineRule="auto"/>
        <w:ind w:firstLineChars="200" w:firstLine="640"/>
        <w:contextualSpacing/>
        <w:jc w:val="left"/>
        <w:rPr>
          <w:rFonts w:ascii="Times New Roman" w:cs="Times New Roman" w:hAnsi="Times New Roman"/>
          <w:sz w:val="32"/>
          <w:szCs w:val="32"/>
        </w:rPr>
      </w:pPr>
      <w:bookmarkStart w:id="110" w:name="_Toc32036726_WPSOffice_Level2"/>
      <w:bookmarkStart w:id="111" w:name="_Toc1154935973_WPSOffice_Level2"/>
      <w:r>
        <w:rPr>
          <w:rFonts w:ascii="Times New Roman" w:eastAsia="黑体" w:cs="Times New Roman" w:hAnsi="Times New Roman"/>
          <w:color w:val="000000"/>
          <w:kern w:val="0"/>
          <w:sz w:val="32"/>
          <w:szCs w:val="32"/>
          <w:shd w:val="clear" w:color="auto" w:fill="FFFFFF"/>
          <w:lang w:val="zh-CN"/>
        </w:rPr>
        <w:t>一、部门基本情况</w:t>
      </w:r>
      <w:bookmarkEnd w:id="110"/>
      <w:bookmarkEnd w:id="111"/>
    </w:p>
    <w:p>
      <w:pPr>
        <w:widowControl/>
        <w:adjustRightInd w:val="0"/>
        <w:snapToGrid w:val="0"/>
        <w:spacing w:line="360" w:lineRule="auto"/>
        <w:ind w:firstLineChars="200" w:firstLine="640"/>
        <w:contextualSpacing/>
        <w:jc w:val="left"/>
        <w:rPr>
          <w:rFonts w:ascii="Times New Roman" w:eastAsia="仿宋_GB2312" w:cs="Times New Roman" w:hAnsi="Times New Roman"/>
          <w:color w:val="000000"/>
          <w:kern w:val="0"/>
          <w:sz w:val="32"/>
          <w:szCs w:val="32"/>
          <w:shd w:val="clear" w:color="auto" w:fill="FFFFFF"/>
          <w:lang w:val="zh-CN"/>
        </w:rPr>
      </w:pPr>
      <w:r>
        <w:rPr>
          <w:rFonts w:ascii="Times New Roman" w:eastAsia="楷体_GB2312" w:cs="Times New Roman" w:hAnsi="Times New Roman"/>
          <w:b/>
          <w:bCs/>
          <w:color w:val="000000"/>
          <w:kern w:val="0"/>
          <w:sz w:val="32"/>
          <w:szCs w:val="32"/>
          <w:shd w:val="clear" w:color="auto" w:fill="FFFFFF"/>
          <w:lang w:val="zh-CN"/>
        </w:rPr>
        <w:t>（一）机构组成。</w:t>
      </w:r>
      <w:r>
        <w:rPr>
          <w:rFonts w:ascii="Times New Roman" w:eastAsia="仿宋_GB2312" w:cs="Times New Roman" w:hAnsi="Times New Roman"/>
          <w:color w:val="000000"/>
          <w:sz w:val="32"/>
          <w:szCs w:val="32"/>
          <w:lang w:val="zh-CN"/>
        </w:rPr>
        <w:t>攀枝花市司法局直属二级单位</w:t>
      </w:r>
      <w:r>
        <w:rPr>
          <w:rFonts w:ascii="Times New Roman" w:eastAsia="仿宋_GB2312" w:cs="Times New Roman" w:hAnsi="Times New Roman"/>
          <w:sz w:val="32"/>
          <w:szCs w:val="32"/>
          <w:lang w:val="zh-CN"/>
        </w:rPr>
        <w:t>3</w:t>
      </w:r>
      <w:r>
        <w:rPr>
          <w:rFonts w:ascii="Times New Roman" w:eastAsia="仿宋_GB2312" w:cs="Times New Roman" w:hAnsi="Times New Roman"/>
          <w:color w:val="000000"/>
          <w:sz w:val="32"/>
          <w:szCs w:val="32"/>
          <w:lang w:val="zh-CN"/>
        </w:rPr>
        <w:t>个，其中参照公务员法管理的事业单位</w:t>
      </w:r>
      <w:r>
        <w:rPr>
          <w:rFonts w:ascii="Times New Roman" w:eastAsia="仿宋_GB2312" w:cs="Times New Roman" w:hAnsi="Times New Roman"/>
          <w:sz w:val="32"/>
          <w:szCs w:val="32"/>
          <w:lang w:val="zh-CN"/>
        </w:rPr>
        <w:t>2</w:t>
      </w:r>
      <w:r>
        <w:rPr>
          <w:rFonts w:ascii="Times New Roman" w:eastAsia="仿宋_GB2312" w:cs="Times New Roman" w:hAnsi="Times New Roman"/>
          <w:color w:val="000000"/>
          <w:sz w:val="32"/>
          <w:szCs w:val="32"/>
          <w:lang w:val="zh-CN"/>
        </w:rPr>
        <w:t>个（攀枝花仲裁委员会秘书处、攀枝花市法律援助中心），其他事业单位</w:t>
      </w:r>
      <w:r>
        <w:rPr>
          <w:rFonts w:ascii="Times New Roman" w:eastAsia="仿宋_GB2312" w:cs="Times New Roman" w:hAnsi="Times New Roman"/>
          <w:sz w:val="32"/>
          <w:szCs w:val="32"/>
          <w:lang w:val="zh-CN"/>
        </w:rPr>
        <w:t>1</w:t>
      </w:r>
      <w:r>
        <w:rPr>
          <w:rFonts w:ascii="Times New Roman" w:eastAsia="仿宋_GB2312" w:cs="Times New Roman" w:hAnsi="Times New Roman"/>
          <w:color w:val="000000"/>
          <w:sz w:val="32"/>
          <w:szCs w:val="32"/>
          <w:lang w:val="zh-CN"/>
        </w:rPr>
        <w:t>个（四川省攀枝花市攀枝花公证处），全部纳入攀枝花市司法局</w:t>
      </w:r>
      <w:r>
        <w:rPr>
          <w:rFonts w:ascii="Times New Roman" w:eastAsia="仿宋_GB2312" w:cs="Times New Roman" w:hAnsi="Times New Roman"/>
          <w:sz w:val="32"/>
          <w:szCs w:val="32"/>
          <w:lang w:val="zh-CN"/>
        </w:rPr>
        <w:t>202</w:t>
      </w:r>
      <w:r>
        <w:rPr>
          <w:rFonts w:ascii="Times New Roman" w:eastAsia="仿宋_GB2312" w:cs="Times New Roman" w:hAnsi="Times New Roman"/>
          <w:sz w:val="32"/>
          <w:szCs w:val="32"/>
          <w:lang w:val="en-US" w:eastAsia="zh-CN"/>
        </w:rPr>
        <w:t>5</w:t>
      </w:r>
      <w:r>
        <w:rPr>
          <w:rFonts w:ascii="Times New Roman" w:eastAsia="仿宋_GB2312" w:cs="Times New Roman" w:hAnsi="Times New Roman"/>
          <w:sz w:val="32"/>
          <w:szCs w:val="32"/>
          <w:lang w:val="zh-CN"/>
        </w:rPr>
        <w:t>年</w:t>
      </w:r>
      <w:r>
        <w:rPr>
          <w:rFonts w:ascii="Times New Roman" w:eastAsia="仿宋_GB2312" w:cs="Times New Roman" w:hAnsi="Times New Roman"/>
          <w:color w:val="000000"/>
          <w:sz w:val="32"/>
          <w:szCs w:val="32"/>
          <w:lang w:val="zh-CN"/>
        </w:rPr>
        <w:t>度部门预算绩效自评范围，无独立核算的二级预算单位。</w:t>
      </w:r>
    </w:p>
    <w:p>
      <w:pPr>
        <w:widowControl/>
        <w:adjustRightInd w:val="0"/>
        <w:snapToGrid w:val="0"/>
        <w:spacing w:line="360" w:lineRule="auto"/>
        <w:ind w:firstLineChars="200" w:firstLine="640"/>
        <w:contextualSpacing/>
        <w:rPr>
          <w:rFonts w:ascii="Times New Roman" w:eastAsia="仿宋_GB2312" w:cs="Times New Roman" w:hAnsi="Times New Roman"/>
          <w:color w:val="000000"/>
          <w:sz w:val="32"/>
          <w:szCs w:val="32"/>
          <w:lang w:val="zh-CN"/>
        </w:rPr>
      </w:pPr>
      <w:r>
        <w:rPr>
          <w:rFonts w:ascii="Times New Roman" w:eastAsia="楷体_GB2312" w:cs="Times New Roman" w:hAnsi="Times New Roman"/>
          <w:b/>
          <w:bCs/>
          <w:color w:val="000000"/>
          <w:kern w:val="0"/>
          <w:sz w:val="32"/>
          <w:szCs w:val="32"/>
          <w:shd w:val="clear" w:color="auto" w:fill="FFFFFF"/>
          <w:lang w:val="zh-CN"/>
        </w:rPr>
        <w:t>（二）机构职能。</w:t>
      </w:r>
      <w:r>
        <w:rPr>
          <w:rFonts w:ascii="Times New Roman" w:eastAsia="仿宋_GB2312" w:cs="Times New Roman" w:hAnsi="Times New Roman"/>
          <w:color w:val="000000"/>
          <w:sz w:val="32"/>
          <w:szCs w:val="32"/>
          <w:lang w:val="zh-CN"/>
        </w:rPr>
        <w:t>攀枝花市司法局系纳入公务员编制的机关法人。主要职责包括：承担全面依法治国、依法治省、依法治市重大问题的政策研究，协调有关方面提出全面依法治市规划建议，负责有关重大决策部署督察工作。承担统筹规划立法工作的责任。协调有关方面提出立法规划和年度立法工作计划的建议，负责跟踪了解各部门对立法工作计划的落实情况，加强组织协调和督促指导，研究提出立法与改革决策相衔接的意见、措施。负责面向社会征集地方性法规、规章制定项目建议。负责起草或者组织起草地方性法规、市政府规章起草案。负责市政府有关部门报送市政府的地方性法规、规章草案的审查工作。负责立法协调。承担市政府规章的解释、立法后评估工作。负责协调各县（区）、各部门实施法律、法规、规章中的有关争议和问题。承办市政府规章的清理、编纂、翻译工作、承办市政府规章报送备案工作。负责市政府规范性文件、重大行政决策发布前的合法性审查。承办市政府规范性文件的报送备案工作。负责各县（区）政府和市政府各部门规范性文件报送市政府的备案审查工作。组织开展规范性文件清理。承担统筹推进法治政府建设的责任。指导监督市政府各部门、市以下各级政府依法行政工作。负责综合协调、监督检查行政执法，承担推进行政执法体制改革有关工作，推进严格规范公正文明执法。指导监督全市行政复议、行政应诉和行政赔偿工作，承办向市政府申请的行政复议、行政赔偿案件，代理市政府行政应诉案件。承担统筹规划法治社会建设的责任。负责拟定法治宣传教育规划，组织实施普法宣传工作，组织对外法治宣传。推动人民参与和促进法治建设。指导依法治理和法治创建工作。指导调解工作。负责并指导人民监督员的选任管理工作。指导人民陪审员选任工作。指导监督司法所建设和管理工作。负责职责范围内的安全生产工作。指导管理全市社区矫正工作。指导刑满释放人员帮教安置工作。负责全市司法行政戒毒管理工作。指导市强制隔离戒毒所党的建设、党风廉政建设和领导班子建设。指导监督市强制隔离戒毒所强制隔离戒毒执行和戒毒康复工作。对社区戒毒和社区康复工作提供支持和协助。负责拟定全市公共法律服务体系建设规划并指导实施，统筹和布局全市城乡、区域法律服务资源。指导监督律师、法律援助、司法鉴定、公证、仲裁和基层法律服务管理工作。负责全市国家统一法律职业资格考试的组织实施工作。负责全市国家统一法律职业资格管理工作。负责组织和实施法律职业人员入职前培训工作。负责监督管理本系统枪支、弹药、服装和警车等警用物资装备。指导监督本系统财务、装备、设施、场所等保障工作。指导监督所属事业单位的计划财务工作。负责所属事业单位内部审计工作。规划、协调、指导法治人才队伍建设相关工作，指导监督本系统队伍建设。负责本系统人民警察警务管理和警务督察工作。协调县（区）管理司法局领导干部。负责并指导本系统行政审批工作。负责全市外来企业投诉处理和民营企业法律服务工作。完成市委、市政府交办的其他任务。</w:t>
      </w:r>
    </w:p>
    <w:p>
      <w:pPr>
        <w:spacing w:line="360" w:lineRule="auto"/>
        <w:ind w:firstLineChars="200" w:firstLine="640"/>
        <w:rPr>
          <w:rFonts w:ascii="Times New Roman" w:eastAsia="仿宋_GB2312" w:cs="Times New Roman" w:hAnsi="Times New Roman"/>
          <w:color w:val="000000"/>
          <w:sz w:val="32"/>
          <w:szCs w:val="32"/>
          <w:lang w:val="zh-CN"/>
        </w:rPr>
      </w:pPr>
      <w:r>
        <w:rPr>
          <w:rFonts w:ascii="Times New Roman" w:eastAsia="楷体_GB2312" w:cs="Times New Roman" w:hAnsi="Times New Roman"/>
          <w:b/>
          <w:bCs/>
          <w:color w:val="000000"/>
          <w:kern w:val="0"/>
          <w:sz w:val="32"/>
          <w:szCs w:val="32"/>
          <w:shd w:val="clear" w:color="auto" w:fill="FFFFFF"/>
          <w:lang w:val="zh-CN"/>
        </w:rPr>
        <w:t>（三）人员概况。</w:t>
      </w:r>
      <w:r>
        <w:rPr>
          <w:rFonts w:ascii="Times New Roman" w:eastAsia="仿宋_GB2312" w:cs="Times New Roman" w:hAnsi="Times New Roman"/>
          <w:color w:val="000000"/>
          <w:sz w:val="32"/>
          <w:szCs w:val="32"/>
          <w:lang w:val="zh-CN"/>
        </w:rPr>
        <w:t>截至202</w:t>
      </w:r>
      <w:r>
        <w:rPr>
          <w:rFonts w:ascii="Times New Roman" w:eastAsia="仿宋_GB2312" w:cs="Times New Roman" w:hAnsi="Times New Roman"/>
          <w:color w:val="000000"/>
          <w:sz w:val="32"/>
          <w:szCs w:val="32"/>
          <w:lang w:val="en-US" w:eastAsia="zh-CN"/>
        </w:rPr>
        <w:t>5</w:t>
      </w:r>
      <w:r>
        <w:rPr>
          <w:rFonts w:ascii="Times New Roman" w:eastAsia="仿宋_GB2312" w:cs="Times New Roman" w:hAnsi="Times New Roman"/>
          <w:color w:val="000000"/>
          <w:sz w:val="32"/>
          <w:szCs w:val="32"/>
          <w:lang w:val="zh-CN"/>
        </w:rPr>
        <w:t>年末，攀枝花市司法局及直属单位</w:t>
      </w:r>
      <w:r>
        <w:rPr>
          <w:rFonts w:ascii="Times New Roman" w:eastAsia="仿宋_GB2312" w:cs="Times New Roman" w:hAnsi="Times New Roman"/>
          <w:color w:val="000000"/>
          <w:sz w:val="32"/>
          <w:szCs w:val="32"/>
          <w:lang w:val="zh-CN" w:eastAsia="zh-CN"/>
        </w:rPr>
        <w:t>人员编制</w:t>
      </w:r>
      <w:r>
        <w:rPr>
          <w:rFonts w:ascii="Times New Roman" w:eastAsia="仿宋_GB2312" w:cs="Times New Roman" w:hAnsi="Times New Roman"/>
          <w:color w:val="000000"/>
          <w:sz w:val="32"/>
          <w:szCs w:val="32"/>
          <w:lang w:val="en-US" w:eastAsia="zh-CN"/>
        </w:rPr>
        <w:t>79人，其中公务员（</w:t>
      </w:r>
      <w:r>
        <w:rPr>
          <w:rFonts w:ascii="Times New Roman" w:eastAsia="仿宋_GB2312" w:cs="Times New Roman" w:hAnsi="Times New Roman"/>
          <w:color w:val="000000"/>
          <w:sz w:val="32"/>
          <w:szCs w:val="32"/>
          <w:lang w:val="zh-CN"/>
        </w:rPr>
        <w:t>政法专编</w:t>
      </w:r>
      <w:r>
        <w:rPr>
          <w:rFonts w:ascii="Times New Roman" w:eastAsia="仿宋_GB2312" w:cs="Times New Roman" w:hAnsi="Times New Roman"/>
          <w:color w:val="000000"/>
          <w:sz w:val="32"/>
          <w:szCs w:val="32"/>
          <w:lang w:val="en-US" w:eastAsia="zh-CN"/>
        </w:rPr>
        <w:t>）</w:t>
      </w:r>
      <w:r>
        <w:rPr>
          <w:rFonts w:ascii="Times New Roman" w:eastAsia="仿宋_GB2312" w:cs="Times New Roman" w:hAnsi="Times New Roman"/>
          <w:color w:val="000000"/>
          <w:sz w:val="32"/>
          <w:szCs w:val="32"/>
          <w:lang w:val="zh-CN"/>
        </w:rPr>
        <w:t>56人、机关工勤编制4人、参照公务员管理编制14人、事业编制5人。年末实有在职人数70人，其中公务员5</w:t>
      </w:r>
      <w:r>
        <w:rPr>
          <w:rFonts w:ascii="Times New Roman" w:eastAsia="仿宋_GB2312" w:cs="Times New Roman" w:hAnsi="Times New Roman"/>
          <w:color w:val="000000"/>
          <w:sz w:val="32"/>
          <w:szCs w:val="32"/>
          <w:lang w:val="en-US" w:eastAsia="zh-CN"/>
        </w:rPr>
        <w:t>0</w:t>
      </w:r>
      <w:r>
        <w:rPr>
          <w:rFonts w:ascii="Times New Roman" w:eastAsia="仿宋_GB2312" w:cs="Times New Roman" w:hAnsi="Times New Roman"/>
          <w:color w:val="000000"/>
          <w:sz w:val="32"/>
          <w:szCs w:val="32"/>
          <w:lang w:val="zh-CN"/>
        </w:rPr>
        <w:t>人、参公1</w:t>
      </w:r>
      <w:r>
        <w:rPr>
          <w:rFonts w:ascii="Times New Roman" w:eastAsia="仿宋_GB2312" w:cs="Times New Roman" w:hAnsi="Times New Roman"/>
          <w:color w:val="000000"/>
          <w:sz w:val="32"/>
          <w:szCs w:val="32"/>
          <w:lang w:val="en-US" w:eastAsia="zh-CN"/>
        </w:rPr>
        <w:t>3</w:t>
      </w:r>
      <w:r>
        <w:rPr>
          <w:rFonts w:ascii="Times New Roman" w:eastAsia="仿宋_GB2312" w:cs="Times New Roman" w:hAnsi="Times New Roman"/>
          <w:color w:val="000000"/>
          <w:sz w:val="32"/>
          <w:szCs w:val="32"/>
          <w:lang w:val="zh-CN"/>
        </w:rPr>
        <w:t>人、事业4人、机关工勤</w:t>
      </w:r>
      <w:r>
        <w:rPr>
          <w:rFonts w:ascii="Times New Roman" w:eastAsia="仿宋_GB2312" w:cs="Times New Roman" w:hAnsi="Times New Roman"/>
          <w:color w:val="000000"/>
          <w:sz w:val="32"/>
          <w:szCs w:val="32"/>
          <w:lang w:val="en-US" w:eastAsia="zh-CN"/>
        </w:rPr>
        <w:t>3</w:t>
      </w:r>
      <w:r>
        <w:rPr>
          <w:rFonts w:ascii="Times New Roman" w:eastAsia="仿宋_GB2312" w:cs="Times New Roman" w:hAnsi="Times New Roman"/>
          <w:color w:val="000000"/>
          <w:sz w:val="32"/>
          <w:szCs w:val="32"/>
          <w:lang w:val="zh-CN"/>
        </w:rPr>
        <w:t>人。退休人员</w:t>
      </w:r>
      <w:r>
        <w:rPr>
          <w:rFonts w:ascii="Times New Roman" w:eastAsia="仿宋_GB2312" w:cs="Times New Roman" w:hAnsi="Times New Roman"/>
          <w:color w:val="000000"/>
          <w:sz w:val="32"/>
          <w:szCs w:val="32"/>
          <w:lang w:val="en-US" w:eastAsia="zh-CN"/>
        </w:rPr>
        <w:t>61</w:t>
      </w:r>
      <w:r>
        <w:rPr>
          <w:rFonts w:ascii="Times New Roman" w:eastAsia="仿宋_GB2312" w:cs="Times New Roman" w:hAnsi="Times New Roman"/>
          <w:color w:val="000000"/>
          <w:sz w:val="32"/>
          <w:szCs w:val="32"/>
          <w:lang w:val="zh-CN"/>
        </w:rPr>
        <w:t>人。</w:t>
      </w:r>
    </w:p>
    <w:p>
      <w:pPr>
        <w:widowControl/>
        <w:adjustRightInd w:val="0"/>
        <w:snapToGrid w:val="0"/>
        <w:spacing w:line="360" w:lineRule="auto"/>
        <w:ind w:firstLineChars="200" w:firstLine="640"/>
        <w:contextualSpacing/>
        <w:jc w:val="left"/>
        <w:rPr>
          <w:rFonts w:ascii="Times New Roman" w:eastAsia="黑体" w:cs="Times New Roman" w:hAnsi="Times New Roman"/>
          <w:color w:val="000000"/>
          <w:kern w:val="0"/>
          <w:sz w:val="32"/>
          <w:szCs w:val="32"/>
          <w:shd w:val="clear" w:color="auto" w:fill="FFFFFF"/>
        </w:rPr>
      </w:pPr>
      <w:bookmarkStart w:id="112" w:name="_Toc1216729140_WPSOffice_Level2"/>
      <w:bookmarkStart w:id="113" w:name="_Toc840739285_WPSOffice_Level2"/>
      <w:r>
        <w:rPr>
          <w:rFonts w:ascii="Times New Roman" w:eastAsia="黑体" w:cs="Times New Roman" w:hAnsi="Times New Roman"/>
          <w:color w:val="000000"/>
          <w:kern w:val="0"/>
          <w:sz w:val="32"/>
          <w:szCs w:val="32"/>
          <w:shd w:val="clear" w:color="auto" w:fill="FFFFFF"/>
        </w:rPr>
        <w:t>二、部门资金收支情况</w:t>
      </w:r>
      <w:bookmarkEnd w:id="112"/>
      <w:bookmarkEnd w:id="113"/>
    </w:p>
    <w:p>
      <w:pPr>
        <w:widowControl/>
        <w:adjustRightInd w:val="0"/>
        <w:snapToGrid w:val="0"/>
        <w:spacing w:line="360" w:lineRule="auto"/>
        <w:ind w:firstLineChars="200" w:firstLine="640"/>
        <w:contextualSpacing/>
        <w:jc w:val="left"/>
        <w:rPr>
          <w:rFonts w:ascii="Times New Roman" w:eastAsia="楷体_GB2312" w:cs="Times New Roman" w:hAnsi="Times New Roman"/>
          <w:b/>
          <w:bCs/>
          <w:color w:val="000000"/>
          <w:kern w:val="0"/>
          <w:sz w:val="32"/>
          <w:szCs w:val="32"/>
          <w:shd w:val="clear" w:color="auto" w:fill="FFFFFF"/>
        </w:rPr>
      </w:pPr>
      <w:r>
        <w:rPr>
          <w:rFonts w:ascii="Times New Roman" w:eastAsia="楷体_GB2312" w:cs="Times New Roman" w:hAnsi="Times New Roman"/>
          <w:b/>
          <w:bCs/>
          <w:color w:val="000000"/>
          <w:kern w:val="0"/>
          <w:sz w:val="32"/>
          <w:szCs w:val="32"/>
          <w:shd w:val="clear" w:color="auto" w:fill="FFFFFF"/>
          <w:lang w:val="zh-CN"/>
        </w:rPr>
        <w:t>（一）收入情况。</w:t>
      </w:r>
      <w:r>
        <w:rPr>
          <w:rFonts w:ascii="Times New Roman" w:eastAsia="仿宋_GB2312" w:cs="Times New Roman" w:hAnsi="Times New Roman"/>
          <w:sz w:val="32"/>
          <w:szCs w:val="32"/>
        </w:rPr>
        <w:t>攀</w:t>
      </w:r>
      <w:r>
        <w:rPr>
          <w:rFonts w:ascii="Times New Roman" w:eastAsia="仿宋_GB2312" w:cs="Times New Roman" w:hAnsi="Times New Roman"/>
          <w:color w:val="000000"/>
          <w:sz w:val="32"/>
          <w:szCs w:val="32"/>
          <w:lang w:val="zh-CN"/>
        </w:rPr>
        <w:t>枝花市司法局202</w:t>
      </w:r>
      <w:r>
        <w:rPr>
          <w:rFonts w:ascii="Times New Roman" w:eastAsia="仿宋_GB2312" w:cs="Times New Roman" w:hAnsi="Times New Roman"/>
          <w:color w:val="000000"/>
          <w:sz w:val="32"/>
          <w:szCs w:val="32"/>
          <w:lang w:val="en-US" w:eastAsia="zh-CN"/>
        </w:rPr>
        <w:t>5</w:t>
      </w:r>
      <w:r>
        <w:rPr>
          <w:rFonts w:ascii="Times New Roman" w:eastAsia="仿宋_GB2312" w:cs="Times New Roman" w:hAnsi="Times New Roman"/>
          <w:color w:val="000000"/>
          <w:sz w:val="32"/>
          <w:szCs w:val="32"/>
          <w:lang w:val="zh-CN"/>
        </w:rPr>
        <w:t>年年初预算收入20</w:t>
      </w:r>
      <w:r>
        <w:rPr>
          <w:rFonts w:ascii="Times New Roman" w:eastAsia="仿宋_GB2312" w:cs="Times New Roman" w:hAnsi="Times New Roman"/>
          <w:color w:val="000000"/>
          <w:sz w:val="32"/>
          <w:szCs w:val="32"/>
          <w:lang w:val="en-US" w:eastAsia="zh-CN"/>
        </w:rPr>
        <w:t>58.21</w:t>
      </w:r>
      <w:r>
        <w:rPr>
          <w:rFonts w:ascii="Times New Roman" w:eastAsia="仿宋_GB2312" w:cs="Times New Roman" w:hAnsi="Times New Roman"/>
          <w:color w:val="000000"/>
          <w:sz w:val="32"/>
          <w:szCs w:val="32"/>
          <w:lang w:val="zh-CN"/>
        </w:rPr>
        <w:t>万元，均为一般公共预</w:t>
      </w:r>
      <w:r>
        <w:rPr>
          <w:rFonts w:ascii="Times New Roman" w:eastAsia="仿宋_GB2312" w:cs="Times New Roman" w:hAnsi="Times New Roman"/>
          <w:sz w:val="32"/>
          <w:szCs w:val="32"/>
        </w:rPr>
        <w:t>算财政拨款收入。202</w:t>
      </w:r>
      <w:r>
        <w:rPr>
          <w:rFonts w:ascii="Times New Roman" w:eastAsia="仿宋_GB2312" w:cs="Times New Roman" w:hAnsi="Times New Roman"/>
          <w:sz w:val="32"/>
          <w:szCs w:val="32"/>
          <w:lang w:val="en-US" w:eastAsia="zh-CN"/>
        </w:rPr>
        <w:t>5</w:t>
      </w:r>
      <w:r>
        <w:rPr>
          <w:rFonts w:ascii="Times New Roman" w:eastAsia="仿宋_GB2312" w:cs="Times New Roman" w:hAnsi="Times New Roman"/>
          <w:sz w:val="32"/>
          <w:szCs w:val="32"/>
        </w:rPr>
        <w:t>年末决算收入22</w:t>
      </w:r>
      <w:r>
        <w:rPr>
          <w:rFonts w:ascii="Times New Roman" w:eastAsia="仿宋_GB2312" w:cs="Times New Roman" w:hAnsi="Times New Roman"/>
          <w:sz w:val="32"/>
          <w:szCs w:val="32"/>
          <w:lang w:val="en-US" w:eastAsia="zh-CN"/>
        </w:rPr>
        <w:t>88.97</w:t>
      </w:r>
      <w:r>
        <w:rPr>
          <w:rFonts w:ascii="Times New Roman" w:eastAsia="仿宋_GB2312" w:cs="Times New Roman" w:hAnsi="Times New Roman"/>
          <w:sz w:val="32"/>
          <w:szCs w:val="32"/>
        </w:rPr>
        <w:t>万元，其中一般公共预算财政拨款22</w:t>
      </w:r>
      <w:r>
        <w:rPr>
          <w:rFonts w:ascii="Times New Roman" w:eastAsia="仿宋_GB2312" w:cs="Times New Roman" w:hAnsi="Times New Roman"/>
          <w:sz w:val="32"/>
          <w:szCs w:val="32"/>
          <w:lang w:val="en-US" w:eastAsia="zh-CN"/>
        </w:rPr>
        <w:t>49.58</w:t>
      </w:r>
      <w:r>
        <w:rPr>
          <w:rFonts w:ascii="Times New Roman" w:eastAsia="仿宋_GB2312" w:cs="Times New Roman" w:hAnsi="Times New Roman"/>
          <w:sz w:val="32"/>
          <w:szCs w:val="32"/>
        </w:rPr>
        <w:t>万元，其他收入39</w:t>
      </w:r>
      <w:r>
        <w:rPr>
          <w:rFonts w:ascii="Times New Roman" w:eastAsia="仿宋_GB2312" w:cs="Times New Roman" w:hAnsi="Times New Roman"/>
          <w:sz w:val="32"/>
          <w:szCs w:val="32"/>
          <w:lang w:val="en-US" w:eastAsia="zh-CN"/>
        </w:rPr>
        <w:t>.39</w:t>
      </w:r>
      <w:r>
        <w:rPr>
          <w:rFonts w:ascii="Times New Roman" w:eastAsia="仿宋_GB2312" w:cs="Times New Roman" w:hAnsi="Times New Roman"/>
          <w:sz w:val="32"/>
          <w:szCs w:val="32"/>
        </w:rPr>
        <w:t>万元（非同级财政拨款收入）。</w:t>
      </w:r>
    </w:p>
    <w:p>
      <w:pPr>
        <w:widowControl/>
        <w:adjustRightInd w:val="0"/>
        <w:snapToGrid w:val="0"/>
        <w:spacing w:line="360" w:lineRule="auto"/>
        <w:ind w:firstLineChars="200" w:firstLine="640"/>
        <w:contextualSpacing/>
        <w:jc w:val="left"/>
        <w:rPr>
          <w:rFonts w:ascii="Times New Roman" w:eastAsia="仿宋_GB2312" w:cs="Times New Roman" w:hAnsi="Times New Roman"/>
          <w:sz w:val="32"/>
          <w:szCs w:val="32"/>
          <w:lang w:val="zh-CN"/>
        </w:rPr>
      </w:pPr>
      <w:r>
        <w:rPr>
          <w:rFonts w:ascii="Times New Roman" w:eastAsia="楷体_GB2312" w:cs="Times New Roman" w:hAnsi="Times New Roman"/>
          <w:b/>
          <w:bCs/>
          <w:color w:val="000000"/>
          <w:kern w:val="0"/>
          <w:sz w:val="32"/>
          <w:szCs w:val="32"/>
          <w:shd w:val="clear" w:color="auto" w:fill="FFFFFF"/>
          <w:lang w:val="zh-CN"/>
        </w:rPr>
        <w:t>（二）支出情况。</w:t>
      </w:r>
      <w:r>
        <w:rPr>
          <w:rFonts w:ascii="Times New Roman" w:eastAsia="仿宋_GB2312" w:cs="Times New Roman" w:hAnsi="Times New Roman"/>
          <w:sz w:val="32"/>
          <w:szCs w:val="32"/>
        </w:rPr>
        <w:t>攀枝花市司法局202</w:t>
      </w:r>
      <w:r>
        <w:rPr>
          <w:rFonts w:ascii="Times New Roman" w:eastAsia="仿宋_GB2312" w:cs="Times New Roman" w:hAnsi="Times New Roman"/>
          <w:sz w:val="32"/>
          <w:szCs w:val="32"/>
          <w:lang w:val="en-US" w:eastAsia="zh-CN"/>
        </w:rPr>
        <w:t>5</w:t>
      </w:r>
      <w:r>
        <w:rPr>
          <w:rFonts w:ascii="Times New Roman" w:eastAsia="仿宋_GB2312" w:cs="Times New Roman" w:hAnsi="Times New Roman"/>
          <w:sz w:val="32"/>
          <w:szCs w:val="32"/>
        </w:rPr>
        <w:t>年决算支出227</w:t>
      </w:r>
      <w:r>
        <w:rPr>
          <w:rFonts w:ascii="Times New Roman" w:eastAsia="仿宋_GB2312" w:cs="Times New Roman" w:hAnsi="Times New Roman"/>
          <w:sz w:val="32"/>
          <w:szCs w:val="32"/>
          <w:lang w:val="en-US" w:eastAsia="zh-CN"/>
        </w:rPr>
        <w:t>4.62</w:t>
      </w:r>
      <w:r>
        <w:rPr>
          <w:rFonts w:ascii="Times New Roman" w:eastAsia="仿宋_GB2312" w:cs="Times New Roman" w:hAnsi="Times New Roman"/>
          <w:sz w:val="32"/>
          <w:szCs w:val="32"/>
        </w:rPr>
        <w:t>万元。其中：一般公共服务支出</w:t>
      </w:r>
      <w:r>
        <w:rPr>
          <w:rFonts w:ascii="Times New Roman" w:eastAsia="仿宋_GB2312" w:cs="Times New Roman" w:hAnsi="Times New Roman"/>
          <w:sz w:val="32"/>
          <w:szCs w:val="32"/>
          <w:lang w:val="en-US" w:eastAsia="zh-CN"/>
        </w:rPr>
        <w:t>8.05</w:t>
      </w:r>
      <w:r>
        <w:rPr>
          <w:rFonts w:ascii="Times New Roman" w:eastAsia="仿宋_GB2312" w:cs="Times New Roman" w:hAnsi="Times New Roman"/>
          <w:sz w:val="32"/>
          <w:szCs w:val="32"/>
        </w:rPr>
        <w:t>万元，用于市级挂职干部补助；公共安全支出</w:t>
      </w:r>
      <w:r>
        <w:rPr>
          <w:rFonts w:ascii="Times New Roman" w:eastAsia="仿宋_GB2312" w:cs="Times New Roman" w:hAnsi="Times New Roman"/>
          <w:sz w:val="32"/>
          <w:szCs w:val="32"/>
          <w:lang w:val="en-US" w:eastAsia="zh-CN"/>
        </w:rPr>
        <w:t>1684.29</w:t>
      </w:r>
      <w:r>
        <w:rPr>
          <w:rFonts w:ascii="Times New Roman" w:eastAsia="仿宋_GB2312" w:cs="Times New Roman" w:hAnsi="Times New Roman"/>
          <w:sz w:val="32"/>
          <w:szCs w:val="32"/>
        </w:rPr>
        <w:t>万元，包含行政运行和事业运行，主要用于在职人员劳务工资和日常运转公用经费，以及司法业务项目经费；社保保障和就业支出</w:t>
      </w:r>
      <w:r>
        <w:rPr>
          <w:rFonts w:ascii="Times New Roman" w:eastAsia="仿宋_GB2312" w:cs="Times New Roman" w:hAnsi="Times New Roman"/>
          <w:sz w:val="32"/>
          <w:szCs w:val="32"/>
          <w:lang w:val="en-US" w:eastAsia="zh-CN"/>
        </w:rPr>
        <w:t>358.38</w:t>
      </w:r>
      <w:r>
        <w:rPr>
          <w:rFonts w:ascii="Times New Roman" w:eastAsia="仿宋_GB2312" w:cs="Times New Roman" w:hAnsi="Times New Roman"/>
          <w:sz w:val="32"/>
          <w:szCs w:val="32"/>
        </w:rPr>
        <w:t>万元，主要是在职人员社保缴费；卫生健康支出9</w:t>
      </w:r>
      <w:r>
        <w:rPr>
          <w:rFonts w:ascii="Times New Roman" w:eastAsia="仿宋_GB2312" w:cs="Times New Roman" w:hAnsi="Times New Roman"/>
          <w:sz w:val="32"/>
          <w:szCs w:val="32"/>
          <w:lang w:val="en-US" w:eastAsia="zh-CN"/>
        </w:rPr>
        <w:t>6.29</w:t>
      </w:r>
      <w:r>
        <w:rPr>
          <w:rFonts w:ascii="Times New Roman" w:eastAsia="仿宋_GB2312" w:cs="Times New Roman" w:hAnsi="Times New Roman"/>
          <w:sz w:val="32"/>
          <w:szCs w:val="32"/>
        </w:rPr>
        <w:t>万元，主要支付在职人员医疗相关费用；住房保障支出12</w:t>
      </w:r>
      <w:r>
        <w:rPr>
          <w:rFonts w:ascii="Times New Roman" w:eastAsia="仿宋_GB2312" w:cs="Times New Roman" w:hAnsi="Times New Roman"/>
          <w:sz w:val="32"/>
          <w:szCs w:val="32"/>
          <w:lang w:val="en-US" w:eastAsia="zh-CN"/>
        </w:rPr>
        <w:t>7.62</w:t>
      </w:r>
      <w:r>
        <w:rPr>
          <w:rFonts w:ascii="Times New Roman" w:eastAsia="仿宋_GB2312" w:cs="Times New Roman" w:hAnsi="Times New Roman"/>
          <w:sz w:val="32"/>
          <w:szCs w:val="32"/>
        </w:rPr>
        <w:t>万元，用于支付在职人员住房公积金单位部分。</w:t>
      </w:r>
    </w:p>
    <w:p>
      <w:pPr>
        <w:widowControl/>
        <w:adjustRightInd w:val="0"/>
        <w:snapToGrid w:val="0"/>
        <w:spacing w:line="360" w:lineRule="auto"/>
        <w:ind w:firstLineChars="200" w:firstLine="640"/>
        <w:contextualSpacing/>
        <w:jc w:val="left"/>
        <w:rPr>
          <w:rFonts w:ascii="Times New Roman" w:eastAsia="仿宋_GB2312" w:cs="Times New Roman" w:hAnsi="Times New Roman"/>
          <w:color w:val="000000"/>
          <w:kern w:val="0"/>
          <w:sz w:val="32"/>
          <w:szCs w:val="32"/>
          <w:shd w:val="clear" w:color="auto" w:fill="FFFFFF"/>
          <w:lang w:val="zh-CN"/>
        </w:rPr>
      </w:pPr>
      <w:r>
        <w:rPr>
          <w:rFonts w:ascii="Times New Roman" w:eastAsia="楷体_GB2312" w:cs="Times New Roman" w:hAnsi="Times New Roman"/>
          <w:b/>
          <w:bCs/>
          <w:color w:val="000000"/>
          <w:kern w:val="0"/>
          <w:sz w:val="32"/>
          <w:szCs w:val="32"/>
          <w:shd w:val="clear" w:color="auto" w:fill="FFFFFF"/>
          <w:lang w:val="zh-CN"/>
        </w:rPr>
        <w:t>（三）</w:t>
      </w:r>
      <w:r>
        <w:rPr>
          <w:rFonts w:ascii="Times New Roman" w:eastAsia="楷体_GB2312" w:cs="Times New Roman" w:hAnsi="Times New Roman"/>
          <w:b/>
          <w:sz w:val="32"/>
          <w:szCs w:val="32"/>
        </w:rPr>
        <w:t>结余分配和结转结余情况。</w:t>
      </w:r>
      <w:r>
        <w:rPr>
          <w:rFonts w:ascii="Times New Roman" w:eastAsia="仿宋_GB2312" w:cs="Times New Roman" w:hAnsi="Times New Roman"/>
          <w:sz w:val="32"/>
          <w:szCs w:val="32"/>
        </w:rPr>
        <w:t>攀枝花市司法局202</w:t>
      </w:r>
      <w:r>
        <w:rPr>
          <w:rFonts w:ascii="Times New Roman" w:eastAsia="仿宋_GB2312" w:cs="Times New Roman" w:hAnsi="Times New Roman"/>
          <w:sz w:val="32"/>
          <w:szCs w:val="32"/>
          <w:lang w:val="en-US" w:eastAsia="zh-CN"/>
        </w:rPr>
        <w:t>5</w:t>
      </w:r>
      <w:r>
        <w:rPr>
          <w:rFonts w:ascii="Times New Roman" w:eastAsia="仿宋_GB2312" w:cs="Times New Roman" w:hAnsi="Times New Roman"/>
          <w:sz w:val="32"/>
          <w:szCs w:val="32"/>
        </w:rPr>
        <w:t>年末财政拨款无结转和结余。非财政拨款项目结转</w:t>
      </w:r>
      <w:r>
        <w:rPr>
          <w:rFonts w:ascii="Times New Roman" w:eastAsia="仿宋_GB2312" w:cs="Times New Roman" w:hAnsi="Times New Roman"/>
          <w:sz w:val="32"/>
          <w:szCs w:val="32"/>
          <w:lang w:val="en-US" w:eastAsia="zh-CN"/>
        </w:rPr>
        <w:t>59.36</w:t>
      </w:r>
      <w:r>
        <w:rPr>
          <w:rFonts w:ascii="Times New Roman" w:eastAsia="仿宋_GB2312" w:cs="Times New Roman" w:hAnsi="Times New Roman"/>
          <w:sz w:val="32"/>
          <w:szCs w:val="32"/>
        </w:rPr>
        <w:t>万元，全部为县区医调委工作经费。该项目经费为人民调解工作人员日常劳务工资、社保及公用支出，按照累积循环逐步消化。</w:t>
      </w:r>
    </w:p>
    <w:p>
      <w:pPr>
        <w:widowControl/>
        <w:adjustRightInd w:val="0"/>
        <w:snapToGrid w:val="0"/>
        <w:spacing w:line="360" w:lineRule="auto"/>
        <w:ind w:firstLineChars="200" w:firstLine="640"/>
        <w:contextualSpacing/>
        <w:jc w:val="left"/>
        <w:rPr>
          <w:rFonts w:ascii="Times New Roman" w:eastAsia="黑体" w:cs="Times New Roman" w:hAnsi="Times New Roman"/>
          <w:color w:val="000000"/>
          <w:kern w:val="0"/>
          <w:sz w:val="32"/>
          <w:szCs w:val="32"/>
          <w:shd w:val="clear" w:color="auto" w:fill="FFFFFF"/>
        </w:rPr>
      </w:pPr>
      <w:bookmarkStart w:id="114" w:name="_Toc1969815977_WPSOffice_Level2"/>
      <w:bookmarkStart w:id="115" w:name="_Toc881634564_WPSOffice_Level2"/>
      <w:r>
        <w:rPr>
          <w:rFonts w:ascii="Times New Roman" w:eastAsia="黑体" w:cs="Times New Roman" w:hAnsi="Times New Roman"/>
          <w:color w:val="000000"/>
          <w:kern w:val="0"/>
          <w:sz w:val="32"/>
          <w:szCs w:val="32"/>
          <w:shd w:val="clear" w:color="auto" w:fill="FFFFFF"/>
        </w:rPr>
        <w:t>三、部门预算绩效分析</w:t>
      </w:r>
      <w:bookmarkEnd w:id="114"/>
      <w:bookmarkEnd w:id="115"/>
    </w:p>
    <w:p>
      <w:pPr>
        <w:adjustRightInd w:val="0"/>
        <w:snapToGrid w:val="0"/>
        <w:spacing w:line="360" w:lineRule="auto"/>
        <w:ind w:firstLineChars="200" w:firstLine="640"/>
        <w:contextualSpacing/>
        <w:jc w:val="left"/>
        <w:rPr>
          <w:rFonts w:ascii="Times New Roman" w:eastAsia="楷体_GB2312" w:cs="Times New Roman" w:hAnsi="Times New Roman"/>
          <w:b/>
          <w:bCs/>
          <w:color w:val="000000"/>
          <w:kern w:val="0"/>
          <w:sz w:val="32"/>
          <w:szCs w:val="32"/>
          <w:shd w:val="clear" w:color="auto" w:fill="FFFFFF"/>
          <w:lang w:val="zh-CN"/>
        </w:rPr>
      </w:pPr>
      <w:r>
        <w:rPr>
          <w:rFonts w:ascii="Times New Roman" w:eastAsia="楷体_GB2312" w:cs="Times New Roman" w:hAnsi="Times New Roman"/>
          <w:b/>
          <w:bCs/>
          <w:color w:val="000000"/>
          <w:kern w:val="0"/>
          <w:sz w:val="32"/>
          <w:szCs w:val="32"/>
          <w:shd w:val="clear" w:color="auto" w:fill="FFFFFF"/>
          <w:lang w:val="zh-CN"/>
        </w:rPr>
        <w:t>（一）部门预算总体绩效分析。</w:t>
      </w:r>
    </w:p>
    <w:p>
      <w:pPr>
        <w:adjustRightInd w:val="0"/>
        <w:snapToGrid w:val="0"/>
        <w:spacing w:line="360" w:lineRule="auto"/>
        <w:ind w:firstLineChars="200" w:firstLine="640"/>
        <w:contextualSpacing/>
        <w:jc w:val="left"/>
        <w:rPr>
          <w:rFonts w:ascii="Times New Roman" w:eastAsia="仿宋_GB2312" w:cs="Times New Roman" w:hAnsi="Times New Roman"/>
          <w:color w:val="000000"/>
          <w:kern w:val="0"/>
          <w:sz w:val="32"/>
          <w:szCs w:val="32"/>
          <w:shd w:val="clear" w:color="auto" w:fill="FFFFFF"/>
          <w:lang w:val="zh-CN" w:eastAsia="zh-CN"/>
        </w:rPr>
      </w:pPr>
      <w:r>
        <w:rPr>
          <w:rFonts w:ascii="Times New Roman" w:eastAsia="仿宋_GB2312" w:cs="Times New Roman" w:hAnsi="Times New Roman"/>
          <w:color w:val="000000"/>
          <w:kern w:val="0"/>
          <w:sz w:val="32"/>
          <w:szCs w:val="32"/>
          <w:shd w:val="clear" w:color="auto" w:fill="FFFFFF"/>
        </w:rPr>
        <w:t>1.</w:t>
      </w:r>
      <w:r>
        <w:rPr>
          <w:rFonts w:ascii="Times New Roman" w:eastAsia="仿宋_GB2312" w:cs="Times New Roman" w:hAnsi="Times New Roman"/>
          <w:color w:val="000000"/>
          <w:kern w:val="0"/>
          <w:sz w:val="32"/>
          <w:szCs w:val="32"/>
          <w:shd w:val="clear" w:color="auto" w:fill="FFFFFF"/>
          <w:lang w:val="zh-CN"/>
        </w:rPr>
        <w:t>履职效能。</w:t>
      </w:r>
      <w:r>
        <w:rPr>
          <w:rFonts w:ascii="Times New Roman" w:eastAsia="仿宋_GB2312" w:cs="Times New Roman" w:hAnsi="Times New Roman"/>
          <w:color w:val="000000"/>
          <w:kern w:val="0"/>
          <w:sz w:val="32"/>
          <w:szCs w:val="32"/>
          <w:shd w:val="clear" w:color="auto" w:fill="FFFFFF"/>
        </w:rPr>
        <w:t>攀枝花市司法局202</w:t>
      </w:r>
      <w:r>
        <w:rPr>
          <w:rFonts w:ascii="Times New Roman" w:eastAsia="仿宋_GB2312" w:cs="Times New Roman" w:hAnsi="Times New Roman"/>
          <w:color w:val="000000"/>
          <w:kern w:val="0"/>
          <w:sz w:val="32"/>
          <w:szCs w:val="32"/>
          <w:shd w:val="clear" w:color="auto" w:fill="FFFFFF"/>
          <w:lang w:val="en-US" w:eastAsia="zh-CN"/>
        </w:rPr>
        <w:t>5</w:t>
      </w:r>
      <w:r>
        <w:rPr>
          <w:rFonts w:ascii="Times New Roman" w:eastAsia="仿宋_GB2312" w:cs="Times New Roman" w:hAnsi="Times New Roman"/>
          <w:color w:val="000000"/>
          <w:kern w:val="0"/>
          <w:sz w:val="32"/>
          <w:szCs w:val="32"/>
          <w:shd w:val="clear" w:color="auto" w:fill="FFFFFF"/>
        </w:rPr>
        <w:t>年履职效能指标选取以下五项：</w:t>
      </w:r>
      <w:r>
        <w:rPr>
          <w:rFonts w:ascii="Times New Roman" w:eastAsia="仿宋_GB2312" w:cs="Times New Roman" w:hAnsi="Times New Roman"/>
          <w:b/>
          <w:bCs/>
          <w:color w:val="000000"/>
          <w:kern w:val="0"/>
          <w:sz w:val="32"/>
          <w:szCs w:val="32"/>
          <w:shd w:val="clear" w:color="auto" w:fill="FFFFFF"/>
        </w:rPr>
        <w:t>一是</w:t>
      </w:r>
      <w:r>
        <w:rPr>
          <w:rFonts w:ascii="Times New Roman" w:eastAsia="仿宋_GB2312" w:cs="Times New Roman" w:hAnsi="Times New Roman"/>
          <w:color w:val="000000"/>
          <w:kern w:val="0"/>
          <w:sz w:val="32"/>
          <w:szCs w:val="32"/>
          <w:shd w:val="clear" w:color="auto" w:fill="FFFFFF"/>
          <w:lang w:eastAsia="zh-CN"/>
        </w:rPr>
        <w:t>全面依法治市重点任务完成率达</w:t>
      </w:r>
      <w:r>
        <w:rPr>
          <w:rFonts w:ascii="Times New Roman" w:eastAsia="仿宋_GB2312" w:cs="Times New Roman" w:hAnsi="Times New Roman"/>
          <w:color w:val="000000"/>
          <w:kern w:val="0"/>
          <w:sz w:val="32"/>
          <w:szCs w:val="32"/>
          <w:shd w:val="clear" w:color="auto" w:fill="FFFFFF"/>
        </w:rPr>
        <w:t>100%。</w:t>
      </w:r>
      <w:r>
        <w:rPr>
          <w:rFonts w:ascii="Times New Roman" w:eastAsia="仿宋_GB2312" w:cs="Times New Roman" w:hAnsi="Times New Roman"/>
          <w:color w:val="000000"/>
          <w:kern w:val="0"/>
          <w:sz w:val="32"/>
          <w:szCs w:val="32"/>
          <w:shd w:val="clear" w:color="auto" w:fill="FFFFFF"/>
          <w:lang w:val="en-US" w:eastAsia="zh-CN"/>
        </w:rPr>
        <w:t>2025年筹备召开市委全面依法治市委员会会议和办公会议</w:t>
      </w:r>
      <w:r>
        <w:rPr>
          <w:rFonts w:ascii="Times New Roman" w:eastAsia="仿宋_GB2312" w:cs="Times New Roman" w:hAnsi="Times New Roman"/>
          <w:color w:val="000000"/>
          <w:kern w:val="0"/>
          <w:sz w:val="32"/>
          <w:szCs w:val="32"/>
          <w:shd w:val="clear" w:color="auto" w:fill="FFFFFF"/>
          <w:lang w:eastAsia="zh-CN"/>
        </w:rPr>
        <w:t>，制定市委</w:t>
      </w:r>
      <w:r>
        <w:rPr>
          <w:rFonts w:ascii="Times New Roman" w:eastAsia="仿宋_GB2312" w:cs="Times New Roman" w:hAnsi="Times New Roman"/>
          <w:color w:val="000000"/>
          <w:kern w:val="0"/>
          <w:sz w:val="32"/>
          <w:szCs w:val="32"/>
          <w:shd w:val="clear" w:color="auto" w:fill="FFFFFF"/>
        </w:rPr>
        <w:t>全面依法治市委员会2025年工作要点</w:t>
      </w:r>
      <w:r>
        <w:rPr>
          <w:rFonts w:ascii="Times New Roman" w:eastAsia="仿宋_GB2312" w:cs="Times New Roman" w:hAnsi="Times New Roman"/>
          <w:color w:val="000000"/>
          <w:kern w:val="0"/>
          <w:sz w:val="32"/>
          <w:szCs w:val="32"/>
          <w:shd w:val="clear" w:color="auto" w:fill="FFFFFF"/>
          <w:lang w:eastAsia="zh-CN"/>
        </w:rPr>
        <w:t>，明确</w:t>
      </w:r>
      <w:r>
        <w:rPr>
          <w:rFonts w:ascii="Times New Roman" w:eastAsia="仿宋_GB2312" w:cs="Times New Roman" w:hAnsi="Times New Roman"/>
          <w:color w:val="000000"/>
          <w:kern w:val="0"/>
          <w:sz w:val="32"/>
          <w:szCs w:val="32"/>
          <w:shd w:val="clear" w:color="auto" w:fill="FFFFFF"/>
          <w:lang w:val="en-US" w:eastAsia="zh-CN"/>
        </w:rPr>
        <w:t>25项重点任务</w:t>
      </w:r>
      <w:r>
        <w:rPr>
          <w:rFonts w:ascii="Times New Roman" w:eastAsia="仿宋_GB2312" w:cs="Times New Roman" w:hAnsi="Times New Roman"/>
          <w:color w:val="000000"/>
          <w:kern w:val="0"/>
          <w:sz w:val="32"/>
          <w:szCs w:val="32"/>
          <w:shd w:val="clear" w:color="auto" w:fill="FFFFFF"/>
        </w:rPr>
        <w:t>。完成市委法治建设议事协调机构及其办事机构优化调整，推动落实法治建设年度报告制度和法治政府建设年度报告制度。牵头整改中央法治督察反馈24项问题并取得阶段性成果</w:t>
      </w:r>
      <w:r>
        <w:rPr>
          <w:rFonts w:ascii="Times New Roman" w:eastAsia="仿宋_GB2312" w:cs="Times New Roman" w:hAnsi="Times New Roman"/>
          <w:color w:val="000000"/>
          <w:kern w:val="0"/>
          <w:sz w:val="32"/>
          <w:szCs w:val="32"/>
          <w:shd w:val="clear" w:color="auto" w:fill="FFFFFF"/>
          <w:lang w:eastAsia="zh-CN"/>
        </w:rPr>
        <w:t>，</w:t>
      </w:r>
      <w:r>
        <w:rPr>
          <w:rFonts w:ascii="Times New Roman" w:eastAsia="仿宋_GB2312" w:cs="Times New Roman" w:hAnsi="Times New Roman"/>
          <w:color w:val="000000"/>
          <w:kern w:val="0"/>
          <w:sz w:val="32"/>
          <w:szCs w:val="32"/>
          <w:shd w:val="clear" w:color="auto" w:fill="FFFFFF"/>
        </w:rPr>
        <w:t>开展攀枝花法治建设“一规划两方案”总结评估。建设小区依法治理省级试点小区4个，市委依法治市办</w:t>
      </w:r>
      <w:r>
        <w:rPr>
          <w:rFonts w:ascii="Times New Roman" w:eastAsia="仿宋_GB2312" w:cs="Times New Roman" w:hAnsi="Times New Roman"/>
          <w:color w:val="000000"/>
          <w:kern w:val="0"/>
          <w:sz w:val="32"/>
          <w:szCs w:val="32"/>
          <w:shd w:val="clear" w:color="auto" w:fill="FFFFFF"/>
          <w:lang w:eastAsia="zh-CN"/>
        </w:rPr>
        <w:t>、</w:t>
      </w:r>
      <w:r>
        <w:rPr>
          <w:rFonts w:ascii="Times New Roman" w:eastAsia="仿宋_GB2312" w:cs="Times New Roman" w:hAnsi="Times New Roman"/>
          <w:color w:val="000000"/>
          <w:kern w:val="0"/>
          <w:sz w:val="32"/>
          <w:szCs w:val="32"/>
          <w:shd w:val="clear" w:color="auto" w:fill="FFFFFF"/>
        </w:rPr>
        <w:t>攀枝花学院</w:t>
      </w:r>
      <w:r>
        <w:rPr>
          <w:rFonts w:ascii="Times New Roman" w:eastAsia="仿宋_GB2312" w:cs="Times New Roman" w:hAnsi="Times New Roman"/>
          <w:color w:val="000000"/>
          <w:kern w:val="0"/>
          <w:sz w:val="32"/>
          <w:szCs w:val="32"/>
          <w:shd w:val="clear" w:color="auto" w:fill="FFFFFF"/>
          <w:lang w:eastAsia="zh-CN"/>
        </w:rPr>
        <w:t>被命名为全省首批</w:t>
      </w:r>
      <w:r>
        <w:rPr>
          <w:rFonts w:ascii="Times New Roman" w:eastAsia="仿宋_GB2312" w:cs="Times New Roman" w:hAnsi="Times New Roman"/>
          <w:color w:val="000000"/>
          <w:kern w:val="0"/>
          <w:sz w:val="32"/>
          <w:szCs w:val="32"/>
          <w:shd w:val="clear" w:color="auto" w:fill="FFFFFF"/>
        </w:rPr>
        <w:t>“</w:t>
      </w:r>
      <w:r>
        <w:rPr>
          <w:rFonts w:ascii="Times New Roman" w:eastAsia="仿宋_GB2312" w:cs="Times New Roman" w:hAnsi="Times New Roman"/>
          <w:color w:val="000000"/>
          <w:kern w:val="0"/>
          <w:sz w:val="32"/>
          <w:szCs w:val="32"/>
          <w:shd w:val="clear" w:color="auto" w:fill="FFFFFF"/>
          <w:lang w:eastAsia="zh-CN"/>
        </w:rPr>
        <w:t>全面依法治省研究基地</w:t>
      </w:r>
      <w:r>
        <w:rPr>
          <w:rFonts w:ascii="Times New Roman" w:eastAsia="仿宋_GB2312" w:cs="Times New Roman" w:hAnsi="Times New Roman"/>
          <w:color w:val="000000"/>
          <w:kern w:val="0"/>
          <w:sz w:val="32"/>
          <w:szCs w:val="32"/>
          <w:shd w:val="clear" w:color="auto" w:fill="FFFFFF"/>
        </w:rPr>
        <w:t>”。</w:t>
      </w:r>
      <w:r>
        <w:rPr>
          <w:rFonts w:ascii="Times New Roman" w:eastAsia="仿宋_GB2312" w:cs="Times New Roman" w:hAnsi="Times New Roman"/>
          <w:b/>
          <w:bCs/>
          <w:color w:val="000000"/>
          <w:kern w:val="0"/>
          <w:sz w:val="32"/>
          <w:szCs w:val="32"/>
          <w:shd w:val="clear" w:color="auto" w:fill="FFFFFF"/>
        </w:rPr>
        <w:t>二是</w:t>
      </w:r>
      <w:r>
        <w:rPr>
          <w:rFonts w:ascii="Times New Roman" w:eastAsia="仿宋_GB2312" w:cs="Times New Roman" w:hAnsi="Times New Roman"/>
          <w:color w:val="000000"/>
          <w:kern w:val="0"/>
          <w:sz w:val="32"/>
          <w:szCs w:val="32"/>
          <w:shd w:val="clear" w:color="auto" w:fill="FFFFFF"/>
        </w:rPr>
        <w:t>开</w:t>
      </w:r>
      <w:r>
        <w:rPr>
          <w:rFonts w:ascii="Times New Roman" w:eastAsia="仿宋_GB2312" w:cs="Times New Roman" w:hAnsi="Times New Roman"/>
          <w:color w:val="000000"/>
          <w:kern w:val="0"/>
          <w:sz w:val="32"/>
          <w:szCs w:val="32"/>
          <w:shd w:val="clear" w:color="auto" w:fill="FFFFFF"/>
          <w:lang w:val="en-US" w:eastAsia="zh-CN"/>
        </w:rPr>
        <w:t>展行政合法性审查。全年开展行政规范性文件、重大行政决策和重大协议合法性审查61件，备案审查行政规范性文件89件。对全市49个乡镇（街道）1.8万余项履职事项开展法治审核。完成3部地方性法规、政府规章的审查、论证工作。推动重点领域立法，在全省率先颁布《攀枝花市健康影响评估办法》。</w:t>
      </w:r>
      <w:r>
        <w:rPr>
          <w:rFonts w:ascii="Times New Roman" w:eastAsia="仿宋_GB2312" w:cs="Times New Roman" w:hAnsi="Times New Roman"/>
          <w:b/>
          <w:bCs/>
          <w:color w:val="000000"/>
          <w:kern w:val="0"/>
          <w:sz w:val="32"/>
          <w:szCs w:val="32"/>
          <w:shd w:val="clear" w:color="auto" w:fill="FFFFFF"/>
          <w:lang w:val="en-US" w:eastAsia="zh-CN"/>
        </w:rPr>
        <w:t>三是</w:t>
      </w:r>
      <w:r>
        <w:rPr>
          <w:rFonts w:ascii="Times New Roman" w:eastAsia="仿宋_GB2312" w:cs="Times New Roman" w:hAnsi="Times New Roman"/>
          <w:color w:val="000000"/>
          <w:kern w:val="0"/>
          <w:sz w:val="32"/>
          <w:szCs w:val="32"/>
          <w:shd w:val="clear" w:color="auto" w:fill="FFFFFF"/>
          <w:lang w:val="en-US" w:eastAsia="zh-CN"/>
        </w:rPr>
        <w:t>开展法治宣传普法活动。制定2025年全市法治宣传“一月一主题活动”工作方案，组织宪法宣传周等系列活动。召开“八五”普法总结会、举办“八五”普法成果展以及国家宪法日法治讲座。征集、发布全市“八五”普法依法治理十大典型案例，开展主题宣传活动42场次，培育法治文化IP 20余个。围绕推广法律服务、收集公民法治需求等，设立普法驿站、法治驿站等100余个。</w:t>
      </w:r>
      <w:r>
        <w:rPr>
          <w:rFonts w:ascii="Times New Roman" w:eastAsia="仿宋_GB2312" w:cs="Times New Roman" w:hAnsi="Times New Roman"/>
          <w:b/>
          <w:bCs/>
          <w:color w:val="000000"/>
          <w:kern w:val="0"/>
          <w:sz w:val="32"/>
          <w:szCs w:val="32"/>
          <w:shd w:val="clear" w:color="auto" w:fill="FFFFFF"/>
          <w:lang w:val="en-US" w:eastAsia="zh-CN"/>
        </w:rPr>
        <w:t>四是</w:t>
      </w:r>
      <w:r>
        <w:rPr>
          <w:rFonts w:ascii="Times New Roman" w:eastAsia="仿宋_GB2312" w:cs="Times New Roman" w:hAnsi="Times New Roman"/>
          <w:color w:val="000000"/>
          <w:kern w:val="0"/>
          <w:sz w:val="32"/>
          <w:szCs w:val="32"/>
          <w:shd w:val="clear" w:color="auto" w:fill="FFFFFF"/>
          <w:lang w:val="en-US" w:eastAsia="zh-CN"/>
        </w:rPr>
        <w:t>开展行政执法监督备案审查。</w:t>
      </w:r>
      <w:r>
        <w:rPr>
          <w:rFonts w:ascii="Times New Roman" w:eastAsia="仿宋_GB2312" w:cs="Times New Roman" w:hAnsi="Times New Roman"/>
          <w:color w:val="000000"/>
          <w:kern w:val="0"/>
          <w:sz w:val="32"/>
          <w:szCs w:val="32"/>
          <w:shd w:val="clear" w:color="auto" w:fill="FFFFFF"/>
        </w:rPr>
        <w:t>扎实开展规范涉企行政执法专项行动，</w:t>
      </w:r>
      <w:r>
        <w:rPr>
          <w:rFonts w:ascii="Times New Roman" w:eastAsia="仿宋_GB2312" w:cs="Times New Roman" w:hAnsi="Times New Roman"/>
          <w:color w:val="000000"/>
          <w:kern w:val="0"/>
          <w:sz w:val="32"/>
          <w:szCs w:val="32"/>
          <w:shd w:val="clear" w:color="auto" w:fill="FFFFFF"/>
          <w:lang w:eastAsia="zh-CN"/>
        </w:rPr>
        <w:t>向纪检监察机关</w:t>
      </w:r>
      <w:r>
        <w:rPr>
          <w:rFonts w:ascii="Times New Roman" w:eastAsia="仿宋_GB2312" w:cs="Times New Roman" w:hAnsi="Times New Roman"/>
          <w:color w:val="000000"/>
          <w:kern w:val="0"/>
          <w:sz w:val="32"/>
          <w:szCs w:val="32"/>
          <w:shd w:val="clear" w:color="auto" w:fill="FFFFFF"/>
          <w:lang w:val="en-US" w:eastAsia="zh-CN"/>
        </w:rPr>
        <w:t>移送问题线索26条，为企业群众挽回损失200余万元。在全省率先开展行政检查“亮码入企”</w:t>
      </w:r>
      <w:r>
        <w:rPr>
          <w:rFonts w:ascii="Times New Roman" w:eastAsia="仿宋_GB2312" w:cs="Times New Roman" w:hAnsi="Times New Roman"/>
          <w:color w:val="000000"/>
          <w:kern w:val="0"/>
          <w:sz w:val="32"/>
          <w:szCs w:val="32"/>
          <w:shd w:val="clear" w:color="auto" w:fill="FFFFFF"/>
        </w:rPr>
        <w:t>省级试点，企业满意度评价100%。整合1</w:t>
      </w:r>
      <w:r>
        <w:rPr>
          <w:rFonts w:ascii="Times New Roman" w:eastAsia="仿宋_GB2312" w:cs="Times New Roman" w:hAnsi="Times New Roman"/>
          <w:color w:val="000000"/>
          <w:kern w:val="0"/>
          <w:sz w:val="32"/>
          <w:szCs w:val="32"/>
          <w:shd w:val="clear" w:color="auto" w:fill="FFFFFF"/>
          <w:lang w:val="en-US" w:eastAsia="zh-CN"/>
        </w:rPr>
        <w:t>55</w:t>
      </w:r>
      <w:r>
        <w:rPr>
          <w:rFonts w:ascii="Times New Roman" w:eastAsia="仿宋_GB2312" w:cs="Times New Roman" w:hAnsi="Times New Roman"/>
          <w:color w:val="000000"/>
          <w:kern w:val="0"/>
          <w:sz w:val="32"/>
          <w:szCs w:val="32"/>
          <w:shd w:val="clear" w:color="auto" w:fill="FFFFFF"/>
        </w:rPr>
        <w:t>项行政检查事项形成</w:t>
      </w:r>
      <w:r>
        <w:rPr>
          <w:rFonts w:ascii="Times New Roman" w:eastAsia="仿宋_GB2312" w:cs="Times New Roman" w:hAnsi="Times New Roman"/>
          <w:color w:val="000000"/>
          <w:kern w:val="0"/>
          <w:sz w:val="32"/>
          <w:szCs w:val="32"/>
          <w:shd w:val="clear" w:color="auto" w:fill="FFFFFF"/>
          <w:lang w:val="en-US" w:eastAsia="zh-CN"/>
        </w:rPr>
        <w:t>44</w:t>
      </w:r>
      <w:r>
        <w:rPr>
          <w:rFonts w:ascii="Times New Roman" w:eastAsia="仿宋_GB2312" w:cs="Times New Roman" w:hAnsi="Times New Roman"/>
          <w:color w:val="000000"/>
          <w:kern w:val="0"/>
          <w:sz w:val="32"/>
          <w:szCs w:val="32"/>
          <w:shd w:val="clear" w:color="auto" w:fill="FFFFFF"/>
        </w:rPr>
        <w:t>项“综合查一次”清单，</w:t>
      </w:r>
      <w:r>
        <w:rPr>
          <w:rFonts w:ascii="Times New Roman" w:eastAsia="仿宋_GB2312" w:cs="Times New Roman" w:hAnsi="Times New Roman"/>
          <w:color w:val="000000"/>
          <w:kern w:val="0"/>
          <w:sz w:val="32"/>
          <w:szCs w:val="32"/>
          <w:shd w:val="clear" w:color="auto" w:fill="FFFFFF"/>
          <w:lang w:eastAsia="zh-CN"/>
        </w:rPr>
        <w:t>涉企行政检查同比下降31%，</w:t>
      </w:r>
      <w:r>
        <w:rPr>
          <w:rFonts w:ascii="Times New Roman" w:eastAsia="仿宋_GB2312" w:cs="Times New Roman" w:hAnsi="Times New Roman"/>
          <w:color w:val="000000"/>
          <w:kern w:val="0"/>
          <w:sz w:val="32"/>
          <w:szCs w:val="32"/>
          <w:shd w:val="clear" w:color="auto" w:fill="FFFFFF"/>
          <w:lang w:val="en-US" w:eastAsia="zh-CN"/>
        </w:rPr>
        <w:t>不予处罚、减轻处罚案件同比增长21%。</w:t>
      </w:r>
      <w:r>
        <w:rPr>
          <w:rFonts w:ascii="Times New Roman" w:eastAsia="仿宋_GB2312" w:cs="Times New Roman" w:hAnsi="Times New Roman"/>
          <w:color w:val="000000"/>
          <w:kern w:val="0"/>
          <w:sz w:val="32"/>
          <w:szCs w:val="32"/>
          <w:shd w:val="clear" w:color="auto" w:fill="FFFFFF"/>
        </w:rPr>
        <w:t>为全市重点企业、重大项目提供“1+1”专项法律服务，妥善处置外地律师违规插手我市重点项目建设工作，开展法治体检</w:t>
      </w:r>
      <w:r>
        <w:rPr>
          <w:rFonts w:ascii="Times New Roman" w:eastAsia="仿宋_GB2312" w:cs="Times New Roman" w:hAnsi="Times New Roman"/>
          <w:color w:val="000000"/>
          <w:kern w:val="0"/>
          <w:sz w:val="32"/>
          <w:szCs w:val="32"/>
          <w:shd w:val="clear" w:color="auto" w:fill="FFFFFF"/>
          <w:lang w:val="en-US" w:eastAsia="zh-CN"/>
        </w:rPr>
        <w:t>200余</w:t>
      </w:r>
      <w:r>
        <w:rPr>
          <w:rFonts w:ascii="Times New Roman" w:eastAsia="仿宋_GB2312" w:cs="Times New Roman" w:hAnsi="Times New Roman"/>
          <w:color w:val="000000"/>
          <w:kern w:val="0"/>
          <w:sz w:val="32"/>
          <w:szCs w:val="32"/>
          <w:shd w:val="clear" w:color="auto" w:fill="FFFFFF"/>
        </w:rPr>
        <w:t>场次。</w:t>
      </w:r>
      <w:r>
        <w:rPr>
          <w:rFonts w:ascii="Times New Roman" w:eastAsia="仿宋_GB2312" w:cs="Times New Roman" w:hAnsi="Times New Roman"/>
          <w:b/>
          <w:bCs/>
          <w:color w:val="000000"/>
          <w:kern w:val="0"/>
          <w:sz w:val="32"/>
          <w:szCs w:val="32"/>
          <w:shd w:val="clear" w:color="auto" w:fill="FFFFFF"/>
        </w:rPr>
        <w:t>五是</w:t>
      </w:r>
      <w:r>
        <w:rPr>
          <w:rFonts w:ascii="Times New Roman" w:eastAsia="仿宋_GB2312" w:cs="Times New Roman" w:hAnsi="Times New Roman"/>
          <w:color w:val="000000"/>
          <w:kern w:val="0"/>
          <w:sz w:val="32"/>
          <w:szCs w:val="32"/>
          <w:shd w:val="clear" w:color="auto" w:fill="FFFFFF"/>
        </w:rPr>
        <w:t>受理行政复议</w:t>
      </w:r>
      <w:r>
        <w:rPr>
          <w:rFonts w:ascii="Times New Roman" w:eastAsia="仿宋_GB2312" w:cs="Times New Roman" w:hAnsi="Times New Roman"/>
          <w:color w:val="000000"/>
          <w:kern w:val="0"/>
          <w:sz w:val="32"/>
          <w:szCs w:val="32"/>
          <w:shd w:val="clear" w:color="auto" w:fill="FFFFFF"/>
          <w:lang w:eastAsia="zh-CN"/>
        </w:rPr>
        <w:t>案件</w:t>
      </w:r>
      <w:r>
        <w:rPr>
          <w:rFonts w:ascii="Times New Roman" w:eastAsia="仿宋_GB2312" w:cs="Times New Roman" w:hAnsi="Times New Roman"/>
          <w:color w:val="000000"/>
          <w:kern w:val="0"/>
          <w:sz w:val="32"/>
          <w:szCs w:val="32"/>
          <w:shd w:val="clear" w:color="auto" w:fill="FFFFFF"/>
        </w:rPr>
        <w:t>。</w:t>
      </w:r>
      <w:r>
        <w:rPr>
          <w:rFonts w:ascii="Times New Roman" w:eastAsia="仿宋_GB2312" w:cs="Times New Roman" w:hAnsi="Times New Roman"/>
          <w:color w:val="000000"/>
          <w:sz w:val="32"/>
          <w:szCs w:val="32"/>
          <w:lang w:eastAsia="zh-CN" w:bidi="ar-SA"/>
        </w:rPr>
        <w:t>受理</w:t>
      </w:r>
      <w:r>
        <w:rPr>
          <w:rFonts w:ascii="Times New Roman" w:eastAsia="仿宋_GB2312" w:cs="Times New Roman" w:hAnsi="Times New Roman"/>
          <w:color w:val="000000"/>
          <w:sz w:val="32"/>
          <w:szCs w:val="32"/>
          <w:lang w:bidi="ar-SA"/>
        </w:rPr>
        <w:t>行政复议案件</w:t>
      </w:r>
      <w:r>
        <w:rPr>
          <w:rFonts w:ascii="Times New Roman" w:eastAsia="仿宋_GB2312" w:cs="Times New Roman" w:hAnsi="Times New Roman"/>
          <w:color w:val="000000"/>
          <w:sz w:val="32"/>
          <w:szCs w:val="32"/>
          <w:lang w:val="en-US" w:eastAsia="zh-CN" w:bidi="ar-SA"/>
        </w:rPr>
        <w:t>294</w:t>
      </w:r>
      <w:r>
        <w:rPr>
          <w:rFonts w:ascii="Times New Roman" w:eastAsia="仿宋_GB2312" w:cs="Times New Roman" w:hAnsi="Times New Roman"/>
          <w:color w:val="000000"/>
          <w:sz w:val="32"/>
          <w:szCs w:val="32"/>
          <w:lang w:bidi="ar-SA"/>
        </w:rPr>
        <w:t>件，</w:t>
      </w:r>
      <w:r>
        <w:rPr>
          <w:rFonts w:ascii="Times New Roman" w:eastAsia="仿宋_GB2312" w:cs="Times New Roman" w:hAnsi="Times New Roman"/>
          <w:color w:val="000000"/>
          <w:sz w:val="32"/>
          <w:szCs w:val="32"/>
          <w:lang w:eastAsia="zh-CN" w:bidi="ar-SA"/>
        </w:rPr>
        <w:t>同比增加</w:t>
      </w:r>
      <w:r>
        <w:rPr>
          <w:rFonts w:ascii="Times New Roman" w:eastAsia="仿宋_GB2312" w:cs="Times New Roman" w:hAnsi="Times New Roman"/>
          <w:color w:val="000000"/>
          <w:sz w:val="32"/>
          <w:szCs w:val="32"/>
          <w:lang w:val="en-US" w:eastAsia="zh-CN" w:bidi="ar-SA"/>
        </w:rPr>
        <w:t>250%，</w:t>
      </w:r>
      <w:r>
        <w:rPr>
          <w:rFonts w:ascii="Times New Roman" w:eastAsia="仿宋_GB2312" w:cs="Times New Roman" w:hAnsi="Times New Roman"/>
          <w:color w:val="000000"/>
          <w:sz w:val="32"/>
          <w:szCs w:val="32"/>
          <w:lang w:bidi="ar-SA"/>
        </w:rPr>
        <w:t>1个行政复议案例入选司法部典型案例</w:t>
      </w:r>
      <w:r>
        <w:rPr>
          <w:rFonts w:ascii="Times New Roman" w:eastAsia="仿宋_GB2312" w:cs="Times New Roman" w:hAnsi="Times New Roman"/>
          <w:color w:val="000000"/>
          <w:kern w:val="0"/>
          <w:sz w:val="32"/>
          <w:szCs w:val="32"/>
          <w:shd w:val="clear" w:color="auto" w:fill="FFFFFF"/>
        </w:rPr>
        <w:t>。</w:t>
      </w:r>
    </w:p>
    <w:p>
      <w:pPr>
        <w:adjustRightInd w:val="0"/>
        <w:snapToGrid w:val="0"/>
        <w:spacing w:line="360" w:lineRule="auto"/>
        <w:ind w:firstLineChars="200" w:firstLine="640"/>
        <w:contextualSpacing/>
        <w:jc w:val="left"/>
        <w:rPr>
          <w:rFonts w:ascii="Times New Roman" w:eastAsia="仿宋_GB2312" w:cs="Times New Roman" w:hAnsi="Times New Roman"/>
          <w:color w:val="000000"/>
          <w:kern w:val="0"/>
          <w:sz w:val="32"/>
          <w:szCs w:val="32"/>
          <w:shd w:val="clear" w:color="auto" w:fill="FFFFFF"/>
        </w:rPr>
      </w:pPr>
      <w:r>
        <w:rPr>
          <w:rFonts w:ascii="Times New Roman" w:eastAsia="仿宋_GB2312" w:cs="Times New Roman" w:hAnsi="Times New Roman"/>
          <w:color w:val="000000"/>
          <w:kern w:val="0"/>
          <w:sz w:val="32"/>
          <w:szCs w:val="32"/>
          <w:shd w:val="clear" w:color="auto" w:fill="FFFFFF"/>
        </w:rPr>
        <w:t>2.</w:t>
      </w:r>
      <w:r>
        <w:rPr>
          <w:rFonts w:ascii="Times New Roman" w:eastAsia="仿宋_GB2312" w:cs="Times New Roman" w:hAnsi="Times New Roman"/>
          <w:color w:val="000000"/>
          <w:kern w:val="0"/>
          <w:sz w:val="32"/>
          <w:szCs w:val="32"/>
          <w:shd w:val="clear" w:color="auto" w:fill="FFFFFF"/>
          <w:lang w:val="zh-CN"/>
        </w:rPr>
        <w:t>预算管理。</w:t>
      </w:r>
      <w:r>
        <w:rPr>
          <w:rFonts w:ascii="Times New Roman" w:eastAsia="仿宋_GB2312" w:cs="Times New Roman" w:hAnsi="Times New Roman"/>
          <w:color w:val="000000"/>
          <w:kern w:val="0"/>
          <w:sz w:val="32"/>
          <w:szCs w:val="32"/>
        </w:rPr>
        <w:t>攀枝花市司法局年初严格按照市财政要求及口径科学、准确编制年度</w:t>
      </w:r>
      <w:r>
        <w:rPr>
          <w:rFonts w:ascii="Times New Roman" w:eastAsia="仿宋_GB2312" w:cs="Times New Roman" w:hAnsi="Times New Roman"/>
          <w:color w:val="000000"/>
          <w:kern w:val="0"/>
          <w:sz w:val="32"/>
          <w:szCs w:val="32"/>
          <w:lang w:val="zh-CN"/>
        </w:rPr>
        <w:t>预</w:t>
      </w:r>
      <w:r>
        <w:rPr>
          <w:rFonts w:ascii="Times New Roman" w:eastAsia="仿宋_GB2312" w:cs="Times New Roman" w:hAnsi="Times New Roman"/>
          <w:color w:val="000000"/>
          <w:kern w:val="0"/>
          <w:sz w:val="32"/>
          <w:szCs w:val="32"/>
          <w:shd w:val="clear" w:color="auto" w:fill="FFFFFF"/>
          <w:lang w:val="zh-CN"/>
        </w:rPr>
        <w:t>算，</w:t>
      </w:r>
      <w:r>
        <w:rPr>
          <w:rFonts w:ascii="Times New Roman" w:eastAsia="仿宋_GB2312" w:cs="Times New Roman" w:hAnsi="Times New Roman"/>
          <w:color w:val="000000"/>
          <w:kern w:val="0"/>
          <w:sz w:val="32"/>
          <w:szCs w:val="32"/>
          <w:shd w:val="clear" w:color="auto" w:fill="FFFFFF"/>
        </w:rPr>
        <w:t>全年</w:t>
      </w:r>
      <w:r>
        <w:rPr>
          <w:rFonts w:ascii="Times New Roman" w:eastAsia="仿宋_GB2312" w:cs="Times New Roman" w:hAnsi="Times New Roman"/>
          <w:color w:val="000000"/>
          <w:kern w:val="0"/>
          <w:sz w:val="32"/>
          <w:szCs w:val="32"/>
          <w:shd w:val="clear" w:color="auto" w:fill="FFFFFF"/>
          <w:lang w:eastAsia="zh-CN"/>
        </w:rPr>
        <w:t>财政拨款</w:t>
      </w:r>
      <w:r>
        <w:rPr>
          <w:rFonts w:ascii="Times New Roman" w:eastAsia="仿宋_GB2312" w:cs="Times New Roman" w:hAnsi="Times New Roman"/>
          <w:color w:val="000000"/>
          <w:kern w:val="0"/>
          <w:sz w:val="32"/>
          <w:szCs w:val="32"/>
          <w:shd w:val="clear" w:color="auto" w:fill="FFFFFF"/>
        </w:rPr>
        <w:t>预算偏离度为</w:t>
      </w:r>
      <w:r>
        <w:rPr>
          <w:rFonts w:ascii="Times New Roman" w:eastAsia="仿宋_GB2312" w:cs="Times New Roman" w:hAnsi="Times New Roman"/>
          <w:color w:val="000000"/>
          <w:kern w:val="0"/>
          <w:sz w:val="32"/>
          <w:szCs w:val="32"/>
          <w:shd w:val="clear" w:color="auto" w:fill="FFFFFF"/>
          <w:lang w:val="en-US" w:eastAsia="zh-CN"/>
        </w:rPr>
        <w:t>11.74</w:t>
      </w:r>
      <w:r>
        <w:rPr>
          <w:rFonts w:ascii="Times New Roman" w:eastAsia="仿宋_GB2312" w:cs="Times New Roman" w:hAnsi="Times New Roman"/>
          <w:color w:val="000000"/>
          <w:kern w:val="0"/>
          <w:sz w:val="32"/>
          <w:szCs w:val="32"/>
          <w:shd w:val="clear" w:color="auto" w:fill="FFFFFF"/>
        </w:rPr>
        <w:t>%，主要是年中</w:t>
      </w:r>
      <w:r>
        <w:rPr>
          <w:rFonts w:ascii="Times New Roman" w:eastAsia="仿宋_GB2312" w:cs="Times New Roman" w:hAnsi="Times New Roman"/>
          <w:color w:val="000000"/>
          <w:kern w:val="0"/>
          <w:sz w:val="32"/>
          <w:szCs w:val="32"/>
          <w:shd w:val="clear" w:color="auto" w:fill="FFFFFF"/>
          <w:lang w:eastAsia="zh-CN"/>
        </w:rPr>
        <w:t>职业年金做实</w:t>
      </w:r>
      <w:r>
        <w:rPr>
          <w:rFonts w:ascii="Times New Roman" w:eastAsia="仿宋_GB2312" w:cs="Times New Roman" w:hAnsi="Times New Roman"/>
          <w:color w:val="000000"/>
          <w:kern w:val="0"/>
          <w:sz w:val="32"/>
          <w:szCs w:val="32"/>
          <w:shd w:val="clear" w:color="auto" w:fill="FFFFFF"/>
        </w:rPr>
        <w:t>、</w:t>
      </w:r>
      <w:r>
        <w:rPr>
          <w:rFonts w:ascii="Times New Roman" w:eastAsia="仿宋_GB2312" w:cs="Times New Roman" w:hAnsi="Times New Roman"/>
          <w:color w:val="000000"/>
          <w:kern w:val="0"/>
          <w:sz w:val="32"/>
          <w:szCs w:val="32"/>
          <w:shd w:val="clear" w:color="auto" w:fill="FFFFFF"/>
          <w:lang w:eastAsia="zh-CN"/>
        </w:rPr>
        <w:t>人才专项经费、市级</w:t>
      </w:r>
      <w:r>
        <w:rPr>
          <w:rFonts w:ascii="Times New Roman" w:eastAsia="仿宋_GB2312" w:cs="Times New Roman" w:hAnsi="Times New Roman"/>
          <w:color w:val="000000"/>
          <w:kern w:val="0"/>
          <w:sz w:val="32"/>
          <w:szCs w:val="32"/>
          <w:shd w:val="clear" w:color="auto" w:fill="FFFFFF"/>
        </w:rPr>
        <w:t>挂职干部补助等</w:t>
      </w:r>
      <w:r>
        <w:rPr>
          <w:rFonts w:ascii="Times New Roman" w:eastAsia="仿宋_GB2312" w:cs="Times New Roman" w:hAnsi="Times New Roman"/>
          <w:color w:val="000000"/>
          <w:kern w:val="0"/>
          <w:sz w:val="32"/>
          <w:szCs w:val="32"/>
          <w:shd w:val="clear" w:color="auto" w:fill="FFFFFF"/>
          <w:lang w:eastAsia="zh-CN"/>
        </w:rPr>
        <w:t>追加</w:t>
      </w:r>
      <w:r>
        <w:rPr>
          <w:rFonts w:ascii="Times New Roman" w:eastAsia="仿宋_GB2312" w:cs="Times New Roman" w:hAnsi="Times New Roman"/>
          <w:color w:val="000000"/>
          <w:kern w:val="0"/>
          <w:sz w:val="32"/>
          <w:szCs w:val="32"/>
          <w:shd w:val="clear" w:color="auto" w:fill="FFFFFF"/>
        </w:rPr>
        <w:t>预算所致。</w:t>
      </w:r>
      <w:r>
        <w:rPr>
          <w:rFonts w:ascii="Times New Roman" w:eastAsia="仿宋_GB2312" w:cs="Times New Roman" w:hAnsi="Times New Roman"/>
          <w:color w:val="000000"/>
          <w:kern w:val="0"/>
          <w:sz w:val="32"/>
          <w:szCs w:val="32"/>
          <w:shd w:val="clear" w:color="auto" w:fill="FFFFFF"/>
          <w:lang w:val="zh-CN"/>
        </w:rPr>
        <w:t>单位</w:t>
      </w:r>
      <w:r>
        <w:rPr>
          <w:rFonts w:ascii="Times New Roman" w:eastAsia="仿宋_GB2312" w:cs="Times New Roman" w:hAnsi="Times New Roman"/>
          <w:color w:val="000000"/>
          <w:kern w:val="0"/>
          <w:sz w:val="32"/>
          <w:szCs w:val="32"/>
          <w:shd w:val="clear" w:color="auto" w:fill="FFFFFF"/>
        </w:rPr>
        <w:t>自有</w:t>
      </w:r>
      <w:r>
        <w:rPr>
          <w:rFonts w:ascii="Times New Roman" w:eastAsia="仿宋_GB2312" w:cs="Times New Roman" w:hAnsi="Times New Roman"/>
          <w:color w:val="000000"/>
          <w:kern w:val="0"/>
          <w:sz w:val="32"/>
          <w:szCs w:val="32"/>
          <w:shd w:val="clear" w:color="auto" w:fill="FFFFFF"/>
          <w:lang w:val="zh-CN"/>
        </w:rPr>
        <w:t>收入</w:t>
      </w:r>
      <w:r>
        <w:rPr>
          <w:rFonts w:ascii="Times New Roman" w:eastAsia="仿宋_GB2312" w:cs="Times New Roman" w:hAnsi="Times New Roman"/>
          <w:color w:val="000000"/>
          <w:kern w:val="0"/>
          <w:sz w:val="32"/>
          <w:szCs w:val="32"/>
          <w:shd w:val="clear" w:color="auto" w:fill="FFFFFF"/>
        </w:rPr>
        <w:t>全部纳入预算</w:t>
      </w:r>
      <w:r>
        <w:rPr>
          <w:rFonts w:ascii="Times New Roman" w:eastAsia="仿宋_GB2312" w:cs="Times New Roman" w:hAnsi="Times New Roman"/>
          <w:color w:val="000000"/>
          <w:kern w:val="0"/>
          <w:sz w:val="32"/>
          <w:szCs w:val="32"/>
          <w:shd w:val="clear" w:color="auto" w:fill="FFFFFF"/>
          <w:lang w:val="zh-CN"/>
        </w:rPr>
        <w:t>统筹</w:t>
      </w:r>
      <w:r>
        <w:rPr>
          <w:rFonts w:ascii="Times New Roman" w:eastAsia="仿宋_GB2312" w:cs="Times New Roman" w:hAnsi="Times New Roman"/>
          <w:color w:val="000000"/>
          <w:kern w:val="0"/>
          <w:sz w:val="32"/>
          <w:szCs w:val="32"/>
          <w:shd w:val="clear" w:color="auto" w:fill="FFFFFF"/>
        </w:rPr>
        <w:t>执行。预算</w:t>
      </w:r>
      <w:r>
        <w:rPr>
          <w:rFonts w:ascii="Times New Roman" w:eastAsia="仿宋_GB2312" w:cs="Times New Roman" w:hAnsi="Times New Roman"/>
          <w:color w:val="000000"/>
          <w:kern w:val="0"/>
          <w:sz w:val="32"/>
          <w:szCs w:val="32"/>
          <w:shd w:val="clear" w:color="auto" w:fill="FFFFFF"/>
          <w:lang w:val="zh-CN"/>
        </w:rPr>
        <w:t>支出执行进度</w:t>
      </w:r>
      <w:r>
        <w:rPr>
          <w:rFonts w:ascii="Times New Roman" w:eastAsia="仿宋_GB2312" w:cs="Times New Roman" w:hAnsi="Times New Roman"/>
          <w:color w:val="000000"/>
          <w:kern w:val="0"/>
          <w:sz w:val="32"/>
          <w:szCs w:val="32"/>
          <w:shd w:val="clear" w:color="auto" w:fill="FFFFFF"/>
        </w:rPr>
        <w:t>1-6月执行率达51</w:t>
      </w:r>
      <w:r>
        <w:rPr>
          <w:rFonts w:ascii="Times New Roman" w:eastAsia="仿宋_GB2312" w:cs="Times New Roman" w:hAnsi="Times New Roman"/>
          <w:color w:val="000000"/>
          <w:kern w:val="0"/>
          <w:sz w:val="32"/>
          <w:szCs w:val="32"/>
          <w:shd w:val="clear" w:color="auto" w:fill="FFFFFF"/>
          <w:lang w:val="en-US" w:eastAsia="zh-CN"/>
        </w:rPr>
        <w:t>.09</w:t>
      </w:r>
      <w:r>
        <w:rPr>
          <w:rFonts w:ascii="Times New Roman" w:eastAsia="仿宋_GB2312" w:cs="Times New Roman" w:hAnsi="Times New Roman"/>
          <w:color w:val="000000"/>
          <w:kern w:val="0"/>
          <w:sz w:val="32"/>
          <w:szCs w:val="32"/>
          <w:shd w:val="clear" w:color="auto" w:fill="FFFFFF"/>
        </w:rPr>
        <w:t>%，1-10月执行率为</w:t>
      </w:r>
      <w:r>
        <w:rPr>
          <w:rFonts w:ascii="Times New Roman" w:eastAsia="仿宋_GB2312" w:cs="Times New Roman" w:hAnsi="Times New Roman"/>
          <w:color w:val="000000"/>
          <w:kern w:val="0"/>
          <w:sz w:val="32"/>
          <w:szCs w:val="32"/>
          <w:shd w:val="clear" w:color="auto" w:fill="FFFFFF"/>
          <w:lang w:val="en-US" w:eastAsia="zh-CN"/>
        </w:rPr>
        <w:t>78.07</w:t>
      </w:r>
      <w:r>
        <w:rPr>
          <w:rFonts w:ascii="Times New Roman" w:eastAsia="仿宋_GB2312" w:cs="Times New Roman" w:hAnsi="Times New Roman"/>
          <w:color w:val="000000"/>
          <w:kern w:val="0"/>
          <w:sz w:val="32"/>
          <w:szCs w:val="32"/>
          <w:shd w:val="clear" w:color="auto" w:fill="FFFFFF"/>
        </w:rPr>
        <w:t>%。</w:t>
      </w:r>
      <w:r>
        <w:rPr>
          <w:rFonts w:ascii="Times New Roman" w:eastAsia="仿宋_GB2312" w:cs="Times New Roman" w:hAnsi="Times New Roman"/>
          <w:color w:val="000000"/>
          <w:kern w:val="0"/>
          <w:sz w:val="32"/>
          <w:szCs w:val="32"/>
          <w:shd w:val="clear" w:color="auto" w:fill="FFFFFF"/>
          <w:lang w:val="zh-CN"/>
        </w:rPr>
        <w:t>年终</w:t>
      </w:r>
      <w:r>
        <w:rPr>
          <w:rFonts w:ascii="Times New Roman" w:eastAsia="仿宋_GB2312" w:cs="Times New Roman" w:hAnsi="Times New Roman"/>
          <w:color w:val="000000"/>
          <w:kern w:val="0"/>
          <w:sz w:val="32"/>
          <w:szCs w:val="32"/>
          <w:shd w:val="clear" w:color="auto" w:fill="FFFFFF"/>
        </w:rPr>
        <w:t>部门整体预算结余率</w:t>
      </w:r>
      <w:r>
        <w:rPr>
          <w:rFonts w:ascii="Times New Roman" w:eastAsia="仿宋_GB2312" w:cs="Times New Roman" w:hAnsi="Times New Roman"/>
          <w:color w:val="000000"/>
          <w:kern w:val="0"/>
          <w:sz w:val="32"/>
          <w:szCs w:val="32"/>
          <w:shd w:val="clear" w:color="auto" w:fill="FFFFFF"/>
          <w:lang w:val="en-US" w:eastAsia="zh-CN"/>
        </w:rPr>
        <w:t>2.54</w:t>
      </w:r>
      <w:r>
        <w:rPr>
          <w:rFonts w:ascii="Times New Roman" w:eastAsia="仿宋_GB2312" w:cs="Times New Roman" w:hAnsi="Times New Roman"/>
          <w:color w:val="000000"/>
          <w:kern w:val="0"/>
          <w:sz w:val="32"/>
          <w:szCs w:val="32"/>
          <w:shd w:val="clear" w:color="auto" w:fill="FFFFFF"/>
        </w:rPr>
        <w:t>%</w:t>
      </w:r>
      <w:r>
        <w:rPr>
          <w:rFonts w:ascii="Times New Roman" w:eastAsia="仿宋_GB2312" w:cs="Times New Roman" w:hAnsi="Times New Roman"/>
          <w:color w:val="000000"/>
          <w:kern w:val="0"/>
          <w:sz w:val="32"/>
          <w:szCs w:val="32"/>
          <w:shd w:val="clear" w:color="auto" w:fill="FFFFFF"/>
          <w:lang w:val="zh-CN"/>
        </w:rPr>
        <w:t>。“三公”经费、会议、培训、差旅、办节办展、办公设备购置、信息网络及软件购置更新、课题经费等8项一般性支出2025年初预算37.82万元，实际支出30.12万元，</w:t>
      </w:r>
      <w:r>
        <w:rPr>
          <w:rFonts w:ascii="Times New Roman" w:eastAsia="仿宋_GB2312" w:cs="Times New Roman" w:hAnsi="Times New Roman"/>
          <w:color w:val="000000"/>
          <w:kern w:val="0"/>
          <w:sz w:val="32"/>
          <w:szCs w:val="32"/>
          <w:shd w:val="clear" w:color="auto" w:fill="FFFFFF"/>
        </w:rPr>
        <w:t>较上年</w:t>
      </w:r>
      <w:r>
        <w:rPr>
          <w:rFonts w:ascii="Times New Roman" w:eastAsia="仿宋_GB2312" w:cs="Times New Roman" w:hAnsi="Times New Roman"/>
          <w:color w:val="000000"/>
          <w:kern w:val="0"/>
          <w:sz w:val="32"/>
          <w:szCs w:val="32"/>
          <w:shd w:val="clear" w:color="auto" w:fill="FFFFFF"/>
          <w:lang w:val="zh-CN"/>
        </w:rPr>
        <w:t>压减支出</w:t>
      </w:r>
      <w:r>
        <w:rPr>
          <w:rFonts w:ascii="Times New Roman" w:eastAsia="仿宋_GB2312" w:cs="Times New Roman" w:hAnsi="Times New Roman"/>
          <w:color w:val="000000"/>
          <w:kern w:val="0"/>
          <w:sz w:val="32"/>
          <w:szCs w:val="32"/>
          <w:shd w:val="clear" w:color="auto" w:fill="FFFFFF"/>
          <w:lang w:val="en-US" w:eastAsia="zh-CN"/>
        </w:rPr>
        <w:t>7.12</w:t>
      </w:r>
      <w:r>
        <w:rPr>
          <w:rFonts w:ascii="Times New Roman" w:eastAsia="仿宋_GB2312" w:cs="Times New Roman" w:hAnsi="Times New Roman"/>
          <w:color w:val="000000"/>
          <w:kern w:val="0"/>
          <w:sz w:val="32"/>
          <w:szCs w:val="32"/>
          <w:shd w:val="clear" w:color="auto" w:fill="FFFFFF"/>
          <w:lang w:val="zh-CN"/>
        </w:rPr>
        <w:t>%。</w:t>
      </w:r>
    </w:p>
    <w:p>
      <w:pPr>
        <w:adjustRightInd w:val="0"/>
        <w:snapToGrid w:val="0"/>
        <w:spacing w:line="360" w:lineRule="auto"/>
        <w:ind w:firstLineChars="200" w:firstLine="640"/>
        <w:contextualSpacing/>
        <w:jc w:val="left"/>
        <w:rPr>
          <w:rFonts w:ascii="Times New Roman" w:eastAsia="仿宋_GB2312" w:cs="Times New Roman" w:hAnsi="Times New Roman"/>
          <w:color w:val="000000"/>
          <w:kern w:val="0"/>
          <w:sz w:val="32"/>
          <w:szCs w:val="32"/>
          <w:shd w:val="clear" w:color="auto" w:fill="FFFFFF"/>
          <w:lang w:val="zh-CN"/>
        </w:rPr>
      </w:pPr>
      <w:r>
        <w:rPr>
          <w:rFonts w:ascii="Times New Roman" w:eastAsia="仿宋_GB2312" w:cs="Times New Roman" w:hAnsi="Times New Roman"/>
          <w:color w:val="000000"/>
          <w:kern w:val="0"/>
          <w:sz w:val="32"/>
          <w:szCs w:val="32"/>
          <w:shd w:val="clear" w:color="auto" w:fill="FFFFFF"/>
        </w:rPr>
        <w:t>3.</w:t>
      </w:r>
      <w:r>
        <w:rPr>
          <w:rFonts w:ascii="Times New Roman" w:eastAsia="仿宋_GB2312" w:cs="Times New Roman" w:hAnsi="Times New Roman"/>
          <w:color w:val="000000"/>
          <w:kern w:val="0"/>
          <w:sz w:val="32"/>
          <w:szCs w:val="32"/>
          <w:shd w:val="clear" w:color="auto" w:fill="FFFFFF"/>
          <w:lang w:val="zh-CN"/>
        </w:rPr>
        <w:t>财务管理。</w:t>
      </w:r>
      <w:r>
        <w:rPr>
          <w:rFonts w:ascii="Times New Roman" w:eastAsia="仿宋_GB2312" w:cs="Times New Roman" w:hAnsi="Times New Roman"/>
          <w:color w:val="000000"/>
          <w:kern w:val="0"/>
          <w:sz w:val="32"/>
          <w:szCs w:val="32"/>
        </w:rPr>
        <w:t>攀枝花市司法局</w:t>
      </w:r>
      <w:r>
        <w:rPr>
          <w:rFonts w:ascii="Times New Roman" w:eastAsia="仿宋_GB2312" w:cs="Times New Roman" w:hAnsi="Times New Roman"/>
          <w:color w:val="000000"/>
          <w:kern w:val="0"/>
          <w:sz w:val="32"/>
          <w:szCs w:val="32"/>
          <w:shd w:val="clear" w:color="auto" w:fill="FFFFFF"/>
          <w:lang w:val="zh-CN"/>
        </w:rPr>
        <w:t>已制定内部财务管理制度</w:t>
      </w:r>
      <w:r>
        <w:rPr>
          <w:rFonts w:ascii="Times New Roman" w:eastAsia="仿宋_GB2312" w:cs="Times New Roman" w:hAnsi="Times New Roman"/>
          <w:color w:val="000000"/>
          <w:kern w:val="0"/>
          <w:sz w:val="32"/>
          <w:szCs w:val="32"/>
          <w:shd w:val="clear" w:color="auto" w:fill="FFFFFF"/>
        </w:rPr>
        <w:t>及内部控制</w:t>
      </w:r>
      <w:r>
        <w:rPr>
          <w:rFonts w:ascii="Times New Roman" w:eastAsia="仿宋_GB2312" w:cs="Times New Roman" w:hAnsi="Times New Roman"/>
          <w:color w:val="000000"/>
          <w:kern w:val="0"/>
          <w:sz w:val="32"/>
          <w:szCs w:val="32"/>
          <w:shd w:val="clear" w:color="auto" w:fill="FFFFFF"/>
          <w:lang w:val="zh-CN"/>
        </w:rPr>
        <w:t>制度</w:t>
      </w:r>
      <w:r>
        <w:rPr>
          <w:rFonts w:ascii="Times New Roman" w:eastAsia="仿宋_GB2312" w:cs="Times New Roman" w:hAnsi="Times New Roman"/>
          <w:color w:val="000000"/>
          <w:kern w:val="0"/>
          <w:sz w:val="32"/>
          <w:szCs w:val="32"/>
          <w:shd w:val="clear" w:color="auto" w:fill="FFFFFF"/>
        </w:rPr>
        <w:t>等，并在日常财务管理中得到有效落实和执行</w:t>
      </w:r>
      <w:r>
        <w:rPr>
          <w:rFonts w:ascii="Times New Roman" w:eastAsia="仿宋_GB2312" w:cs="Times New Roman" w:hAnsi="Times New Roman"/>
          <w:color w:val="000000"/>
          <w:kern w:val="0"/>
          <w:sz w:val="32"/>
          <w:szCs w:val="32"/>
          <w:shd w:val="clear" w:color="auto" w:fill="FFFFFF"/>
          <w:lang w:val="zh-CN"/>
        </w:rPr>
        <w:t>。部门</w:t>
      </w:r>
      <w:r>
        <w:rPr>
          <w:rFonts w:ascii="Times New Roman" w:eastAsia="仿宋_GB2312" w:cs="Times New Roman" w:hAnsi="Times New Roman"/>
          <w:color w:val="000000"/>
          <w:kern w:val="0"/>
          <w:sz w:val="32"/>
          <w:szCs w:val="32"/>
          <w:shd w:val="clear" w:color="auto" w:fill="FFFFFF"/>
        </w:rPr>
        <w:t>按照内控制度及相关要求</w:t>
      </w:r>
      <w:r>
        <w:rPr>
          <w:rFonts w:ascii="Times New Roman" w:eastAsia="仿宋_GB2312" w:cs="Times New Roman" w:hAnsi="Times New Roman"/>
          <w:color w:val="000000"/>
          <w:kern w:val="0"/>
          <w:sz w:val="32"/>
          <w:szCs w:val="32"/>
          <w:shd w:val="clear" w:color="auto" w:fill="FFFFFF"/>
          <w:lang w:val="zh-CN"/>
        </w:rPr>
        <w:t>合理设置财务工作岗位，明确职责权限，并严格实行不相容岗位分离。</w:t>
      </w:r>
      <w:r>
        <w:rPr>
          <w:rFonts w:ascii="Times New Roman" w:eastAsia="仿宋_GB2312" w:cs="Times New Roman" w:hAnsi="Times New Roman"/>
          <w:color w:val="000000"/>
          <w:kern w:val="0"/>
          <w:sz w:val="32"/>
          <w:szCs w:val="32"/>
          <w:shd w:val="clear" w:color="auto" w:fill="FFFFFF"/>
        </w:rPr>
        <w:t>单位</w:t>
      </w:r>
      <w:r>
        <w:rPr>
          <w:rFonts w:ascii="Times New Roman" w:eastAsia="仿宋_GB2312" w:cs="Times New Roman" w:hAnsi="Times New Roman"/>
          <w:color w:val="000000"/>
          <w:kern w:val="0"/>
          <w:sz w:val="32"/>
          <w:szCs w:val="32"/>
          <w:shd w:val="clear" w:color="auto" w:fill="FFFFFF"/>
          <w:lang w:val="zh-CN"/>
        </w:rPr>
        <w:t>资金使用</w:t>
      </w:r>
      <w:r>
        <w:rPr>
          <w:rFonts w:ascii="Times New Roman" w:eastAsia="仿宋_GB2312" w:cs="Times New Roman" w:hAnsi="Times New Roman"/>
          <w:color w:val="000000"/>
          <w:kern w:val="0"/>
          <w:sz w:val="32"/>
          <w:szCs w:val="32"/>
          <w:shd w:val="clear" w:color="auto" w:fill="FFFFFF"/>
        </w:rPr>
        <w:t>严格执行财务管理制度，并严格落实财经纪律，做到</w:t>
      </w:r>
      <w:r>
        <w:rPr>
          <w:rFonts w:ascii="Times New Roman" w:eastAsia="仿宋_GB2312" w:cs="Times New Roman" w:hAnsi="Times New Roman"/>
          <w:color w:val="000000"/>
          <w:kern w:val="0"/>
          <w:sz w:val="32"/>
          <w:szCs w:val="32"/>
          <w:shd w:val="clear" w:color="auto" w:fill="FFFFFF"/>
          <w:lang w:val="zh-CN"/>
        </w:rPr>
        <w:t>规范</w:t>
      </w:r>
      <w:r>
        <w:rPr>
          <w:rFonts w:ascii="Times New Roman" w:eastAsia="仿宋_GB2312" w:cs="Times New Roman" w:hAnsi="Times New Roman"/>
          <w:color w:val="000000"/>
          <w:kern w:val="0"/>
          <w:sz w:val="32"/>
          <w:szCs w:val="32"/>
          <w:shd w:val="clear" w:color="auto" w:fill="FFFFFF"/>
        </w:rPr>
        <w:t>使用</w:t>
      </w:r>
      <w:r>
        <w:rPr>
          <w:rFonts w:ascii="Times New Roman" w:eastAsia="仿宋_GB2312" w:cs="Times New Roman" w:hAnsi="Times New Roman"/>
          <w:color w:val="000000"/>
          <w:kern w:val="0"/>
          <w:sz w:val="32"/>
          <w:szCs w:val="32"/>
          <w:shd w:val="clear" w:color="auto" w:fill="FFFFFF"/>
          <w:lang w:val="zh-CN"/>
        </w:rPr>
        <w:t>。</w:t>
      </w:r>
    </w:p>
    <w:p>
      <w:pPr>
        <w:adjustRightInd w:val="0"/>
        <w:snapToGrid w:val="0"/>
        <w:spacing w:line="360" w:lineRule="auto"/>
        <w:ind w:firstLineChars="200" w:firstLine="640"/>
        <w:contextualSpacing/>
        <w:jc w:val="left"/>
        <w:rPr>
          <w:rFonts w:ascii="Times New Roman" w:eastAsia="仿宋_GB2312" w:cs="Times New Roman" w:hAnsi="Times New Roman"/>
          <w:color w:val="000000"/>
          <w:kern w:val="0"/>
          <w:sz w:val="32"/>
          <w:szCs w:val="32"/>
          <w:shd w:val="clear" w:color="auto" w:fill="FFFFFF"/>
          <w:lang w:val="zh-CN"/>
        </w:rPr>
      </w:pPr>
      <w:r>
        <w:rPr>
          <w:rFonts w:ascii="Times New Roman" w:eastAsia="仿宋_GB2312" w:cs="Times New Roman" w:hAnsi="Times New Roman"/>
          <w:color w:val="000000"/>
          <w:kern w:val="0"/>
          <w:sz w:val="32"/>
          <w:szCs w:val="32"/>
          <w:shd w:val="clear" w:color="auto" w:fill="FFFFFF"/>
        </w:rPr>
        <w:t>4.</w:t>
      </w:r>
      <w:r>
        <w:rPr>
          <w:rFonts w:ascii="Times New Roman" w:eastAsia="仿宋_GB2312" w:cs="Times New Roman" w:hAnsi="Times New Roman"/>
          <w:color w:val="000000"/>
          <w:kern w:val="0"/>
          <w:sz w:val="32"/>
          <w:szCs w:val="32"/>
          <w:shd w:val="clear" w:color="auto" w:fill="FFFFFF"/>
          <w:lang w:val="zh-CN"/>
        </w:rPr>
        <w:t>资产管理。</w:t>
      </w:r>
      <w:r>
        <w:rPr>
          <w:rFonts w:ascii="Times New Roman" w:eastAsia="仿宋_GB2312" w:cs="Times New Roman" w:hAnsi="Times New Roman"/>
          <w:color w:val="000000"/>
          <w:kern w:val="0"/>
          <w:sz w:val="32"/>
          <w:szCs w:val="32"/>
          <w:shd w:val="clear" w:color="auto" w:fill="FFFFFF"/>
        </w:rPr>
        <w:t>202</w:t>
      </w:r>
      <w:r>
        <w:rPr>
          <w:rFonts w:ascii="Times New Roman" w:eastAsia="仿宋_GB2312" w:cs="Times New Roman" w:hAnsi="Times New Roman"/>
          <w:color w:val="000000"/>
          <w:kern w:val="0"/>
          <w:sz w:val="32"/>
          <w:szCs w:val="32"/>
          <w:shd w:val="clear" w:color="auto" w:fill="FFFFFF"/>
          <w:lang w:val="en-US" w:eastAsia="zh-CN"/>
        </w:rPr>
        <w:t>5</w:t>
      </w:r>
      <w:r>
        <w:rPr>
          <w:rFonts w:ascii="Times New Roman" w:eastAsia="仿宋_GB2312" w:cs="Times New Roman" w:hAnsi="Times New Roman"/>
          <w:color w:val="000000"/>
          <w:kern w:val="0"/>
          <w:sz w:val="32"/>
          <w:szCs w:val="32"/>
          <w:shd w:val="clear" w:color="auto" w:fill="FFFFFF"/>
        </w:rPr>
        <w:t>年攀枝花市司法局人均资产变化率0.0</w:t>
      </w:r>
      <w:r>
        <w:rPr>
          <w:rFonts w:ascii="Times New Roman" w:eastAsia="仿宋_GB2312" w:cs="Times New Roman" w:hAnsi="Times New Roman"/>
          <w:color w:val="000000"/>
          <w:kern w:val="0"/>
          <w:sz w:val="32"/>
          <w:szCs w:val="32"/>
          <w:shd w:val="clear" w:color="auto" w:fill="FFFFFF"/>
          <w:lang w:val="en-US" w:eastAsia="zh-CN"/>
        </w:rPr>
        <w:t>1</w:t>
      </w:r>
      <w:r>
        <w:rPr>
          <w:rFonts w:ascii="Times New Roman" w:eastAsia="仿宋_GB2312" w:cs="Times New Roman" w:hAnsi="Times New Roman"/>
          <w:color w:val="000000"/>
          <w:kern w:val="0"/>
          <w:sz w:val="32"/>
          <w:szCs w:val="32"/>
          <w:shd w:val="clear" w:color="auto" w:fill="FFFFFF"/>
        </w:rPr>
        <w:t>%；人均资产增长率为负增长。</w:t>
      </w:r>
      <w:r>
        <w:rPr>
          <w:rFonts w:ascii="Times New Roman" w:eastAsia="仿宋_GB2312" w:cs="Times New Roman" w:hAnsi="Times New Roman"/>
          <w:color w:val="000000"/>
          <w:kern w:val="0"/>
          <w:sz w:val="32"/>
          <w:szCs w:val="32"/>
          <w:shd w:val="clear" w:color="auto" w:fill="FFFFFF"/>
          <w:lang w:val="zh-CN"/>
        </w:rPr>
        <w:t>家具超最低年限使用率</w:t>
      </w:r>
      <w:r>
        <w:rPr>
          <w:rFonts w:ascii="Times New Roman" w:eastAsia="仿宋_GB2312" w:cs="Times New Roman" w:hAnsi="Times New Roman"/>
          <w:color w:val="000000"/>
          <w:kern w:val="0"/>
          <w:sz w:val="32"/>
          <w:szCs w:val="32"/>
          <w:shd w:val="clear" w:color="auto" w:fill="FFFFFF"/>
          <w:lang w:val="en-US" w:eastAsia="zh-CN"/>
        </w:rPr>
        <w:t>11.3</w:t>
      </w:r>
      <w:r>
        <w:rPr>
          <w:rFonts w:ascii="Times New Roman" w:eastAsia="仿宋_GB2312" w:cs="Times New Roman" w:hAnsi="Times New Roman"/>
          <w:color w:val="000000"/>
          <w:kern w:val="0"/>
          <w:sz w:val="32"/>
          <w:szCs w:val="32"/>
          <w:shd w:val="clear" w:color="auto" w:fill="FFFFFF"/>
          <w:lang w:val="zh-CN"/>
        </w:rPr>
        <w:t>%（</w:t>
      </w:r>
      <w:r>
        <w:rPr>
          <w:rFonts w:ascii="Times New Roman" w:eastAsia="仿宋_GB2312" w:cs="Times New Roman" w:hAnsi="Times New Roman"/>
          <w:color w:val="000000"/>
          <w:kern w:val="0"/>
          <w:sz w:val="32"/>
          <w:szCs w:val="32"/>
          <w:shd w:val="clear" w:color="auto" w:fill="FFFFFF"/>
        </w:rPr>
        <w:t>以资产原值计算</w:t>
      </w:r>
      <w:r>
        <w:rPr>
          <w:rFonts w:ascii="Times New Roman" w:eastAsia="仿宋_GB2312" w:cs="Times New Roman" w:hAnsi="Times New Roman"/>
          <w:color w:val="000000"/>
          <w:kern w:val="0"/>
          <w:sz w:val="32"/>
          <w:szCs w:val="32"/>
          <w:shd w:val="clear" w:color="auto" w:fill="FFFFFF"/>
          <w:lang w:val="zh-CN"/>
        </w:rPr>
        <w:t>）；设备超最低年限使用率</w:t>
      </w:r>
      <w:r>
        <w:rPr>
          <w:rFonts w:ascii="Times New Roman" w:eastAsia="仿宋_GB2312" w:cs="Times New Roman" w:hAnsi="Times New Roman"/>
          <w:color w:val="000000"/>
          <w:kern w:val="0"/>
          <w:sz w:val="32"/>
          <w:szCs w:val="32"/>
          <w:shd w:val="clear" w:color="auto" w:fill="FFFFFF"/>
          <w:lang w:val="en-US" w:eastAsia="zh-CN"/>
        </w:rPr>
        <w:t>55.49</w:t>
      </w:r>
      <w:r>
        <w:rPr>
          <w:rFonts w:ascii="Times New Roman" w:eastAsia="仿宋_GB2312" w:cs="Times New Roman" w:hAnsi="Times New Roman"/>
          <w:color w:val="000000"/>
          <w:kern w:val="0"/>
          <w:sz w:val="32"/>
          <w:szCs w:val="32"/>
          <w:shd w:val="clear" w:color="auto" w:fill="FFFFFF"/>
          <w:lang w:val="zh-CN"/>
        </w:rPr>
        <w:t>%（</w:t>
      </w:r>
      <w:r>
        <w:rPr>
          <w:rFonts w:ascii="Times New Roman" w:eastAsia="仿宋_GB2312" w:cs="Times New Roman" w:hAnsi="Times New Roman"/>
          <w:color w:val="000000"/>
          <w:kern w:val="0"/>
          <w:sz w:val="32"/>
          <w:szCs w:val="32"/>
          <w:shd w:val="clear" w:color="auto" w:fill="FFFFFF"/>
        </w:rPr>
        <w:t>以资产原值计算</w:t>
      </w:r>
      <w:r>
        <w:rPr>
          <w:rFonts w:ascii="Times New Roman" w:eastAsia="仿宋_GB2312" w:cs="Times New Roman" w:hAnsi="Times New Roman"/>
          <w:color w:val="000000"/>
          <w:kern w:val="0"/>
          <w:sz w:val="32"/>
          <w:szCs w:val="32"/>
          <w:shd w:val="clear" w:color="auto" w:fill="FFFFFF"/>
          <w:lang w:val="zh-CN"/>
        </w:rPr>
        <w:t>）。经盘点清查，</w:t>
      </w:r>
      <w:r>
        <w:rPr>
          <w:rFonts w:ascii="Times New Roman" w:eastAsia="仿宋_GB2312" w:cs="Times New Roman" w:hAnsi="Times New Roman"/>
          <w:color w:val="000000"/>
          <w:kern w:val="0"/>
          <w:sz w:val="32"/>
          <w:szCs w:val="32"/>
          <w:shd w:val="clear" w:color="auto" w:fill="FFFFFF"/>
        </w:rPr>
        <w:t>部门无闲置资产</w:t>
      </w:r>
      <w:r>
        <w:rPr>
          <w:rFonts w:ascii="Times New Roman" w:eastAsia="仿宋_GB2312" w:cs="Times New Roman" w:hAnsi="Times New Roman"/>
          <w:color w:val="000000"/>
          <w:kern w:val="0"/>
          <w:sz w:val="32"/>
          <w:szCs w:val="32"/>
          <w:shd w:val="clear" w:color="auto" w:fill="FFFFFF"/>
          <w:lang w:val="zh-CN"/>
        </w:rPr>
        <w:t>。</w:t>
      </w:r>
    </w:p>
    <w:p>
      <w:pPr>
        <w:adjustRightInd w:val="0"/>
        <w:snapToGrid w:val="0"/>
        <w:spacing w:line="360" w:lineRule="auto"/>
        <w:ind w:firstLineChars="200" w:firstLine="640"/>
        <w:contextualSpacing/>
        <w:jc w:val="left"/>
        <w:rPr>
          <w:rFonts w:ascii="Times New Roman" w:eastAsia="仿宋_GB2312" w:cs="Times New Roman" w:hAnsi="Times New Roman"/>
          <w:color w:val="000000"/>
          <w:kern w:val="0"/>
          <w:sz w:val="32"/>
          <w:szCs w:val="32"/>
          <w:shd w:val="clear" w:color="auto" w:fill="FFFFFF"/>
          <w:lang w:val="zh-CN"/>
        </w:rPr>
      </w:pPr>
      <w:r>
        <w:rPr>
          <w:rFonts w:ascii="Times New Roman" w:eastAsia="仿宋_GB2312" w:cs="Times New Roman" w:hAnsi="Times New Roman"/>
          <w:color w:val="000000"/>
          <w:kern w:val="0"/>
          <w:sz w:val="32"/>
          <w:szCs w:val="32"/>
          <w:shd w:val="clear" w:color="auto" w:fill="FFFFFF"/>
        </w:rPr>
        <w:t>5.</w:t>
      </w:r>
      <w:r>
        <w:rPr>
          <w:rFonts w:ascii="Times New Roman" w:eastAsia="仿宋_GB2312" w:cs="Times New Roman" w:hAnsi="Times New Roman"/>
          <w:color w:val="000000"/>
          <w:kern w:val="0"/>
          <w:sz w:val="32"/>
          <w:szCs w:val="32"/>
          <w:shd w:val="clear" w:color="auto" w:fill="FFFFFF"/>
          <w:lang w:val="zh-CN"/>
        </w:rPr>
        <w:t>采购管理。</w:t>
      </w:r>
      <w:r>
        <w:rPr>
          <w:rFonts w:ascii="Times New Roman" w:eastAsia="仿宋_GB2312" w:cs="Times New Roman" w:hAnsi="Times New Roman"/>
          <w:color w:val="000000"/>
          <w:kern w:val="0"/>
          <w:sz w:val="32"/>
          <w:szCs w:val="32"/>
          <w:shd w:val="clear" w:color="auto" w:fill="FFFFFF"/>
        </w:rPr>
        <w:t>202</w:t>
      </w:r>
      <w:r>
        <w:rPr>
          <w:rFonts w:ascii="Times New Roman" w:eastAsia="仿宋_GB2312" w:cs="Times New Roman" w:hAnsi="Times New Roman"/>
          <w:color w:val="000000"/>
          <w:kern w:val="0"/>
          <w:sz w:val="32"/>
          <w:szCs w:val="32"/>
          <w:shd w:val="clear" w:color="auto" w:fill="FFFFFF"/>
          <w:lang w:val="en-US" w:eastAsia="zh-CN"/>
        </w:rPr>
        <w:t>5</w:t>
      </w:r>
      <w:r>
        <w:rPr>
          <w:rFonts w:ascii="Times New Roman" w:eastAsia="仿宋_GB2312" w:cs="Times New Roman" w:hAnsi="Times New Roman"/>
          <w:color w:val="000000"/>
          <w:kern w:val="0"/>
          <w:sz w:val="32"/>
          <w:szCs w:val="32"/>
          <w:shd w:val="clear" w:color="auto" w:fill="FFFFFF"/>
        </w:rPr>
        <w:t>年政府采购实施过程中，</w:t>
      </w:r>
      <w:r>
        <w:rPr>
          <w:rFonts w:ascii="Times New Roman" w:eastAsia="仿宋_GB2312" w:cs="Times New Roman" w:hAnsi="Times New Roman"/>
          <w:color w:val="000000"/>
          <w:kern w:val="0"/>
          <w:sz w:val="32"/>
          <w:szCs w:val="32"/>
          <w:shd w:val="clear" w:color="auto" w:fill="FFFFFF"/>
          <w:lang w:val="zh-CN"/>
        </w:rPr>
        <w:t>严格执行政府采购促进中小企业发展相关管理办法，对适宜由中小企业提供的采购项目和采购包，预留采购份额专门面向中小企业采购，并在采购预算中单独列示。</w:t>
      </w:r>
      <w:r>
        <w:rPr>
          <w:rFonts w:ascii="Times New Roman" w:eastAsia="仿宋_GB2312" w:cs="Times New Roman" w:hAnsi="Times New Roman"/>
          <w:color w:val="000000"/>
          <w:kern w:val="0"/>
          <w:sz w:val="32"/>
          <w:szCs w:val="32"/>
          <w:shd w:val="clear" w:color="auto" w:fill="FFFFFF"/>
        </w:rPr>
        <w:t>全年</w:t>
      </w:r>
      <w:r>
        <w:rPr>
          <w:rFonts w:ascii="Times New Roman" w:eastAsia="仿宋_GB2312" w:cs="Times New Roman" w:hAnsi="Times New Roman"/>
          <w:color w:val="000000"/>
          <w:kern w:val="0"/>
          <w:sz w:val="32"/>
          <w:szCs w:val="32"/>
          <w:shd w:val="clear" w:color="auto" w:fill="FFFFFF"/>
          <w:lang w:val="zh-CN"/>
        </w:rPr>
        <w:t>政府采购均为公车燃油、保险及维修采购，采购预算执行率</w:t>
      </w:r>
      <w:r>
        <w:rPr>
          <w:rFonts w:ascii="Times New Roman" w:eastAsia="仿宋_GB2312" w:cs="Times New Roman" w:hAnsi="Times New Roman"/>
          <w:color w:val="000000"/>
          <w:kern w:val="0"/>
          <w:sz w:val="32"/>
          <w:szCs w:val="32"/>
          <w:shd w:val="clear" w:color="auto" w:fill="FFFFFF"/>
          <w:lang w:val="en-US" w:eastAsia="zh-CN"/>
        </w:rPr>
        <w:t>100</w:t>
      </w:r>
      <w:r>
        <w:rPr>
          <w:rFonts w:ascii="Times New Roman" w:eastAsia="仿宋_GB2312" w:cs="Times New Roman" w:hAnsi="Times New Roman"/>
          <w:color w:val="000000"/>
          <w:kern w:val="0"/>
          <w:sz w:val="32"/>
          <w:szCs w:val="32"/>
          <w:shd w:val="clear" w:color="auto" w:fill="FFFFFF"/>
          <w:lang w:val="zh-CN"/>
        </w:rPr>
        <w:t>%。</w:t>
      </w:r>
    </w:p>
    <w:p>
      <w:pPr>
        <w:widowControl/>
        <w:adjustRightInd w:val="0"/>
        <w:snapToGrid w:val="0"/>
        <w:spacing w:line="360" w:lineRule="auto"/>
        <w:ind w:firstLineChars="200" w:firstLine="640"/>
        <w:contextualSpacing/>
        <w:jc w:val="left"/>
        <w:rPr>
          <w:rFonts w:ascii="Times New Roman" w:cs="Times New Roman" w:hAnsi="Times New Roman"/>
          <w:color w:val="000000"/>
          <w:kern w:val="0"/>
          <w:sz w:val="32"/>
          <w:szCs w:val="32"/>
          <w:shd w:val="clear" w:color="auto" w:fill="FFFFFF"/>
        </w:rPr>
      </w:pPr>
      <w:r>
        <w:rPr>
          <w:rFonts w:ascii="Times New Roman" w:eastAsia="楷体_GB2312" w:cs="Times New Roman" w:hAnsi="Times New Roman"/>
          <w:b/>
          <w:bCs/>
          <w:color w:val="000000"/>
          <w:kern w:val="0"/>
          <w:sz w:val="32"/>
          <w:szCs w:val="32"/>
          <w:shd w:val="clear" w:color="auto" w:fill="FFFFFF"/>
          <w:lang w:val="zh-CN"/>
        </w:rPr>
        <w:t>（二）部门预算项目绩效分析。</w:t>
      </w:r>
    </w:p>
    <w:p>
      <w:pPr>
        <w:adjustRightInd w:val="0"/>
        <w:snapToGrid w:val="0"/>
        <w:spacing w:line="360" w:lineRule="auto"/>
        <w:ind w:firstLineChars="200" w:firstLine="640"/>
        <w:contextualSpacing/>
        <w:jc w:val="left"/>
        <w:rPr>
          <w:rFonts w:ascii="Times New Roman" w:eastAsia="仿宋_GB2312" w:cs="Times New Roman" w:hAnsi="Times New Roman"/>
          <w:color w:val="000000"/>
          <w:kern w:val="0"/>
          <w:sz w:val="32"/>
          <w:szCs w:val="32"/>
          <w:shd w:val="clear" w:color="auto" w:fill="FFFFFF"/>
          <w:lang w:val="zh-CN"/>
          <w:highlight w:val="auto"/>
        </w:rPr>
      </w:pPr>
      <w:r>
        <w:rPr>
          <w:rFonts w:ascii="Times New Roman" w:eastAsia="仿宋_GB2312" w:cs="Times New Roman" w:hAnsi="Times New Roman"/>
          <w:color w:val="000000"/>
          <w:kern w:val="0"/>
          <w:sz w:val="32"/>
          <w:szCs w:val="32"/>
          <w:shd w:val="clear" w:color="auto" w:fill="FFFFFF"/>
          <w:highlight w:val="auto"/>
        </w:rPr>
        <w:t>常年项目绩效分析。</w:t>
      </w:r>
      <w:r>
        <w:rPr>
          <w:rFonts w:ascii="Times New Roman" w:eastAsia="仿宋_GB2312" w:cs="Times New Roman" w:hAnsi="Times New Roman"/>
          <w:color w:val="000000"/>
          <w:kern w:val="0"/>
          <w:sz w:val="32"/>
          <w:szCs w:val="32"/>
          <w:shd w:val="clear" w:color="auto" w:fill="FFFFFF"/>
          <w:lang w:val="en-US" w:eastAsia="zh-CN"/>
          <w:highlight w:val="auto"/>
        </w:rPr>
        <w:t>2025年</w:t>
      </w:r>
      <w:r>
        <w:rPr>
          <w:rFonts w:ascii="Times New Roman" w:eastAsia="仿宋_GB2312" w:cs="Times New Roman" w:hAnsi="Times New Roman"/>
          <w:color w:val="000000"/>
          <w:kern w:val="0"/>
          <w:sz w:val="32"/>
          <w:szCs w:val="32"/>
          <w:shd w:val="clear" w:color="auto" w:fill="FFFFFF"/>
          <w:lang w:val="zh-CN"/>
          <w:highlight w:val="auto"/>
        </w:rPr>
        <w:t>该类项目总数</w:t>
      </w:r>
      <w:r>
        <w:rPr>
          <w:rFonts w:ascii="Times New Roman" w:eastAsia="仿宋_GB2312" w:cs="Times New Roman" w:hAnsi="Times New Roman"/>
          <w:color w:val="000000"/>
          <w:kern w:val="0"/>
          <w:sz w:val="32"/>
          <w:szCs w:val="32"/>
          <w:shd w:val="clear" w:color="auto" w:fill="FFFFFF"/>
          <w:lang w:val="en-US" w:eastAsia="zh-CN"/>
          <w:highlight w:val="auto"/>
        </w:rPr>
        <w:t>0</w:t>
      </w:r>
      <w:r>
        <w:rPr>
          <w:rFonts w:ascii="Times New Roman" w:eastAsia="仿宋_GB2312" w:cs="Times New Roman" w:hAnsi="Times New Roman"/>
          <w:color w:val="000000"/>
          <w:kern w:val="0"/>
          <w:sz w:val="32"/>
          <w:szCs w:val="32"/>
          <w:shd w:val="clear" w:color="auto" w:fill="FFFFFF"/>
          <w:lang w:val="zh-CN"/>
          <w:highlight w:val="auto"/>
        </w:rPr>
        <w:t>个。</w:t>
      </w:r>
    </w:p>
    <w:p>
      <w:pPr>
        <w:adjustRightInd w:val="0"/>
        <w:snapToGrid w:val="0"/>
        <w:spacing w:line="360" w:lineRule="auto"/>
        <w:ind w:firstLineChars="200" w:firstLine="640"/>
        <w:contextualSpacing/>
        <w:jc w:val="left"/>
        <w:rPr>
          <w:rFonts w:ascii="Times New Roman" w:eastAsia="仿宋_GB2312" w:cs="Times New Roman" w:hAnsi="Times New Roman"/>
          <w:color w:val="000000"/>
          <w:kern w:val="0"/>
          <w:sz w:val="32"/>
          <w:szCs w:val="32"/>
          <w:shd w:val="clear" w:color="auto" w:fill="FFFFFF"/>
          <w:lang w:val="zh-CN"/>
          <w:highlight w:val="auto"/>
        </w:rPr>
      </w:pPr>
      <w:r>
        <w:rPr>
          <w:rFonts w:ascii="Times New Roman" w:eastAsia="仿宋_GB2312" w:cs="Times New Roman" w:hAnsi="Times New Roman"/>
          <w:color w:val="000000"/>
          <w:kern w:val="0"/>
          <w:sz w:val="32"/>
          <w:szCs w:val="32"/>
          <w:shd w:val="clear" w:color="auto" w:fill="FFFFFF"/>
          <w:highlight w:val="auto"/>
        </w:rPr>
        <w:t>阶段（含一次性）项目绩效分析。</w:t>
      </w:r>
      <w:r>
        <w:rPr>
          <w:rFonts w:ascii="Times New Roman" w:eastAsia="仿宋_GB2312" w:cs="Times New Roman" w:hAnsi="Times New Roman"/>
          <w:color w:val="000000"/>
          <w:kern w:val="0"/>
          <w:sz w:val="32"/>
          <w:szCs w:val="32"/>
          <w:shd w:val="clear" w:color="auto" w:fill="FFFFFF"/>
          <w:lang w:val="zh-CN"/>
          <w:highlight w:val="auto"/>
        </w:rPr>
        <w:t>该类项目总数</w:t>
      </w:r>
      <w:r>
        <w:rPr>
          <w:rFonts w:ascii="Times New Roman" w:eastAsia="仿宋_GB2312" w:cs="Times New Roman" w:hAnsi="Times New Roman"/>
          <w:color w:val="000000"/>
          <w:kern w:val="0"/>
          <w:sz w:val="32"/>
          <w:szCs w:val="32"/>
          <w:shd w:val="clear" w:color="auto" w:fill="FFFFFF"/>
          <w:lang w:val="en-US" w:eastAsia="zh-CN"/>
          <w:highlight w:val="auto"/>
        </w:rPr>
        <w:t>12</w:t>
      </w:r>
      <w:r>
        <w:rPr>
          <w:rFonts w:ascii="Times New Roman" w:eastAsia="仿宋_GB2312" w:cs="Times New Roman" w:hAnsi="Times New Roman"/>
          <w:color w:val="000000"/>
          <w:kern w:val="0"/>
          <w:sz w:val="32"/>
          <w:szCs w:val="32"/>
          <w:shd w:val="clear" w:color="auto" w:fill="FFFFFF"/>
          <w:lang w:val="zh-CN"/>
          <w:highlight w:val="auto"/>
        </w:rPr>
        <w:t>个（不含转移支付项目），分别包括年初安排法律援助项目、法律顾问费项目、公证业务费项目、仲裁业务费项目、市医调委工作经费项目、行政复议规范化建设项目以及入驻政务中心单位租金、物业费及水电费项目；结转上年关工委工作经费项目、重大公共卫生服务项目、重大传染病防控（中央资金）项目；年中新增向上争取资金工作经费、</w:t>
      </w:r>
      <w:r>
        <w:rPr>
          <w:rFonts w:ascii="Times New Roman" w:eastAsia="仿宋_GB2312" w:cs="Times New Roman" w:hAnsi="Times New Roman"/>
          <w:color w:val="000000"/>
          <w:kern w:val="0"/>
          <w:sz w:val="32"/>
          <w:szCs w:val="32"/>
          <w:shd w:val="clear" w:color="auto" w:fill="FFFFFF"/>
          <w:lang w:val="en-US" w:eastAsia="zh-CN"/>
          <w:highlight w:val="auto"/>
        </w:rPr>
        <w:t>2025年</w:t>
      </w:r>
      <w:r>
        <w:rPr>
          <w:rFonts w:ascii="Times New Roman" w:eastAsia="仿宋_GB2312" w:cs="Times New Roman" w:hAnsi="Times New Roman"/>
          <w:color w:val="000000"/>
          <w:kern w:val="0"/>
          <w:sz w:val="32"/>
          <w:szCs w:val="32"/>
          <w:shd w:val="clear" w:color="auto" w:fill="FFFFFF"/>
          <w:lang w:val="zh-CN"/>
          <w:highlight w:val="auto"/>
        </w:rPr>
        <w:t>扫黑除恶项目。项目预算总金额</w:t>
      </w:r>
      <w:r>
        <w:rPr>
          <w:rFonts w:ascii="Times New Roman" w:eastAsia="仿宋_GB2312" w:cs="Times New Roman" w:hAnsi="Times New Roman"/>
          <w:color w:val="000000"/>
          <w:kern w:val="0"/>
          <w:sz w:val="32"/>
          <w:szCs w:val="32"/>
          <w:shd w:val="clear" w:color="auto" w:fill="FFFFFF"/>
          <w:lang w:val="en-US" w:eastAsia="zh-CN"/>
          <w:highlight w:val="auto"/>
        </w:rPr>
        <w:t>133.78</w:t>
      </w:r>
      <w:r>
        <w:rPr>
          <w:rFonts w:ascii="Times New Roman" w:eastAsia="仿宋_GB2312" w:cs="Times New Roman" w:hAnsi="Times New Roman"/>
          <w:color w:val="000000"/>
          <w:kern w:val="0"/>
          <w:sz w:val="32"/>
          <w:szCs w:val="32"/>
          <w:shd w:val="clear" w:color="auto" w:fill="FFFFFF"/>
          <w:lang w:val="zh-CN"/>
          <w:highlight w:val="auto"/>
        </w:rPr>
        <w:t>万元，1—1</w:t>
      </w:r>
      <w:r>
        <w:rPr>
          <w:rFonts w:ascii="Times New Roman" w:eastAsia="仿宋_GB2312" w:cs="Times New Roman" w:hAnsi="Times New Roman"/>
          <w:color w:val="000000"/>
          <w:kern w:val="0"/>
          <w:sz w:val="32"/>
          <w:szCs w:val="32"/>
          <w:shd w:val="clear" w:color="auto" w:fill="FFFFFF"/>
          <w:highlight w:val="auto"/>
        </w:rPr>
        <w:t>2</w:t>
      </w:r>
      <w:r>
        <w:rPr>
          <w:rFonts w:ascii="Times New Roman" w:eastAsia="仿宋_GB2312" w:cs="Times New Roman" w:hAnsi="Times New Roman"/>
          <w:color w:val="000000"/>
          <w:kern w:val="0"/>
          <w:sz w:val="32"/>
          <w:szCs w:val="32"/>
          <w:shd w:val="clear" w:color="auto" w:fill="FFFFFF"/>
          <w:lang w:val="zh-CN"/>
          <w:highlight w:val="auto"/>
        </w:rPr>
        <w:t>月预算执行</w:t>
      </w:r>
      <w:r>
        <w:rPr>
          <w:rFonts w:ascii="Times New Roman" w:eastAsia="仿宋_GB2312" w:cs="Times New Roman" w:hAnsi="Times New Roman"/>
          <w:color w:val="000000"/>
          <w:kern w:val="0"/>
          <w:sz w:val="32"/>
          <w:szCs w:val="32"/>
          <w:shd w:val="clear" w:color="auto" w:fill="FFFFFF"/>
          <w:lang w:val="en-US" w:eastAsia="zh-CN"/>
          <w:highlight w:val="auto"/>
        </w:rPr>
        <w:t>104.86万元，</w:t>
      </w:r>
      <w:r>
        <w:rPr>
          <w:rFonts w:ascii="Times New Roman" w:eastAsia="仿宋_GB2312" w:cs="Times New Roman" w:hAnsi="Times New Roman"/>
          <w:color w:val="000000"/>
          <w:kern w:val="0"/>
          <w:sz w:val="32"/>
          <w:szCs w:val="32"/>
          <w:shd w:val="clear" w:color="auto" w:fill="FFFFFF"/>
          <w:lang w:val="zh-CN"/>
          <w:highlight w:val="auto"/>
        </w:rPr>
        <w:t>总体进度为</w:t>
      </w:r>
      <w:r>
        <w:rPr>
          <w:rFonts w:ascii="Times New Roman" w:eastAsia="仿宋_GB2312" w:cs="Times New Roman" w:hAnsi="Times New Roman"/>
          <w:color w:val="000000"/>
          <w:kern w:val="0"/>
          <w:sz w:val="32"/>
          <w:szCs w:val="32"/>
          <w:shd w:val="clear" w:color="auto" w:fill="FFFFFF"/>
          <w:lang w:val="en-US" w:eastAsia="zh-CN"/>
          <w:highlight w:val="auto"/>
        </w:rPr>
        <w:t>78.38</w:t>
      </w:r>
      <w:r>
        <w:rPr>
          <w:rFonts w:ascii="Times New Roman" w:eastAsia="仿宋_GB2312" w:cs="Times New Roman" w:hAnsi="Times New Roman"/>
          <w:color w:val="000000"/>
          <w:kern w:val="0"/>
          <w:sz w:val="32"/>
          <w:szCs w:val="32"/>
          <w:shd w:val="clear" w:color="auto" w:fill="FFFFFF"/>
          <w:lang w:val="zh-CN"/>
          <w:highlight w:val="auto"/>
        </w:rPr>
        <w:t>%。</w:t>
      </w:r>
    </w:p>
    <w:p>
      <w:pPr>
        <w:adjustRightInd w:val="0"/>
        <w:snapToGrid w:val="0"/>
        <w:spacing w:line="360" w:lineRule="auto"/>
        <w:ind w:firstLineChars="200" w:firstLine="640"/>
        <w:contextualSpacing/>
        <w:jc w:val="left"/>
        <w:rPr>
          <w:rFonts w:ascii="Times New Roman" w:eastAsia="仿宋_GB2312" w:cs="Times New Roman" w:hAnsi="Times New Roman"/>
          <w:color w:val="000000"/>
          <w:kern w:val="0"/>
          <w:sz w:val="32"/>
          <w:szCs w:val="32"/>
          <w:shd w:val="clear" w:color="auto" w:fill="FFFFFF"/>
          <w:lang w:val="zh-CN"/>
        </w:rPr>
      </w:pPr>
      <w:r>
        <w:rPr>
          <w:rFonts w:ascii="Times New Roman" w:eastAsia="仿宋_GB2312" w:cs="Times New Roman" w:hAnsi="Times New Roman"/>
          <w:color w:val="000000"/>
          <w:kern w:val="0"/>
          <w:sz w:val="32"/>
          <w:szCs w:val="32"/>
          <w:shd w:val="clear" w:color="auto" w:fill="FFFFFF"/>
        </w:rPr>
        <w:t>1.</w:t>
      </w:r>
      <w:r>
        <w:rPr>
          <w:rFonts w:ascii="Times New Roman" w:eastAsia="仿宋_GB2312" w:cs="Times New Roman" w:hAnsi="Times New Roman"/>
          <w:color w:val="000000"/>
          <w:kern w:val="0"/>
          <w:sz w:val="32"/>
          <w:szCs w:val="32"/>
          <w:shd w:val="clear" w:color="auto" w:fill="FFFFFF"/>
          <w:lang w:val="zh-CN"/>
        </w:rPr>
        <w:t>项目决策。部门预算项目设立按规定履行</w:t>
      </w:r>
      <w:r>
        <w:rPr>
          <w:rFonts w:ascii="Times New Roman" w:eastAsia="仿宋_GB2312" w:cs="Times New Roman" w:hAnsi="Times New Roman"/>
          <w:color w:val="000000"/>
          <w:kern w:val="0"/>
          <w:sz w:val="32"/>
          <w:szCs w:val="32"/>
          <w:shd w:val="clear" w:color="auto" w:fill="FFFFFF"/>
        </w:rPr>
        <w:t>事前</w:t>
      </w:r>
      <w:r>
        <w:rPr>
          <w:rFonts w:ascii="Times New Roman" w:eastAsia="仿宋_GB2312" w:cs="Times New Roman" w:hAnsi="Times New Roman"/>
          <w:color w:val="000000"/>
          <w:kern w:val="0"/>
          <w:sz w:val="32"/>
          <w:szCs w:val="32"/>
          <w:shd w:val="clear" w:color="auto" w:fill="FFFFFF"/>
          <w:lang w:val="zh-CN"/>
        </w:rPr>
        <w:t>评估论证，</w:t>
      </w:r>
      <w:r>
        <w:rPr>
          <w:rFonts w:ascii="Times New Roman" w:eastAsia="仿宋_GB2312" w:cs="Times New Roman" w:hAnsi="Times New Roman"/>
          <w:color w:val="000000"/>
          <w:kern w:val="0"/>
          <w:sz w:val="32"/>
          <w:szCs w:val="32"/>
          <w:shd w:val="clear" w:color="auto" w:fill="FFFFFF"/>
        </w:rPr>
        <w:t>并按照</w:t>
      </w:r>
      <w:r>
        <w:rPr>
          <w:rFonts w:ascii="Times New Roman" w:eastAsia="仿宋_GB2312" w:cs="Times New Roman" w:hAnsi="Times New Roman"/>
          <w:color w:val="000000"/>
          <w:kern w:val="0"/>
          <w:sz w:val="32"/>
          <w:szCs w:val="32"/>
          <w:shd w:val="clear" w:color="auto" w:fill="FFFFFF"/>
          <w:lang w:val="zh-CN"/>
        </w:rPr>
        <w:t>程序</w:t>
      </w:r>
      <w:r>
        <w:rPr>
          <w:rFonts w:ascii="Times New Roman" w:eastAsia="仿宋_GB2312" w:cs="Times New Roman" w:hAnsi="Times New Roman"/>
          <w:color w:val="000000"/>
          <w:kern w:val="0"/>
          <w:sz w:val="32"/>
          <w:szCs w:val="32"/>
          <w:shd w:val="clear" w:color="auto" w:fill="FFFFFF"/>
        </w:rPr>
        <w:t>进行逐级申报</w:t>
      </w:r>
      <w:r>
        <w:rPr>
          <w:rFonts w:ascii="Times New Roman" w:eastAsia="仿宋_GB2312" w:cs="Times New Roman" w:hAnsi="Times New Roman"/>
          <w:color w:val="000000"/>
          <w:kern w:val="0"/>
          <w:sz w:val="32"/>
          <w:szCs w:val="32"/>
          <w:shd w:val="clear" w:color="auto" w:fill="FFFFFF"/>
          <w:lang w:val="zh-CN"/>
        </w:rPr>
        <w:t>。部门预算项目绩效目标与计划期内的任务量、预算安排的资金量</w:t>
      </w:r>
      <w:r>
        <w:rPr>
          <w:rFonts w:ascii="Times New Roman" w:eastAsia="仿宋_GB2312" w:cs="Times New Roman" w:hAnsi="Times New Roman"/>
          <w:color w:val="000000"/>
          <w:kern w:val="0"/>
          <w:sz w:val="32"/>
          <w:szCs w:val="32"/>
          <w:shd w:val="clear" w:color="auto" w:fill="FFFFFF"/>
        </w:rPr>
        <w:t>尽可能做到相</w:t>
      </w:r>
      <w:r>
        <w:rPr>
          <w:rFonts w:ascii="Times New Roman" w:eastAsia="仿宋_GB2312" w:cs="Times New Roman" w:hAnsi="Times New Roman"/>
          <w:color w:val="000000"/>
          <w:kern w:val="0"/>
          <w:sz w:val="32"/>
          <w:szCs w:val="32"/>
          <w:shd w:val="clear" w:color="auto" w:fill="FFFFFF"/>
          <w:lang w:val="zh-CN"/>
        </w:rPr>
        <w:t>匹配。绩效目标设置</w:t>
      </w:r>
      <w:r>
        <w:rPr>
          <w:rFonts w:ascii="Times New Roman" w:eastAsia="仿宋_GB2312" w:cs="Times New Roman" w:hAnsi="Times New Roman"/>
          <w:color w:val="000000"/>
          <w:kern w:val="0"/>
          <w:sz w:val="32"/>
          <w:szCs w:val="32"/>
          <w:shd w:val="clear" w:color="auto" w:fill="FFFFFF"/>
        </w:rPr>
        <w:t>根据项目实际情况及特点努力做到</w:t>
      </w:r>
      <w:r>
        <w:rPr>
          <w:rFonts w:ascii="Times New Roman" w:eastAsia="仿宋_GB2312" w:cs="Times New Roman" w:hAnsi="Times New Roman"/>
          <w:color w:val="000000"/>
          <w:kern w:val="0"/>
          <w:sz w:val="32"/>
          <w:szCs w:val="32"/>
          <w:shd w:val="clear" w:color="auto" w:fill="FFFFFF"/>
          <w:lang w:val="zh-CN"/>
        </w:rPr>
        <w:t>科学合理、规范完整、量化细化、预算匹配。部门预算项目</w:t>
      </w:r>
      <w:r>
        <w:rPr>
          <w:rFonts w:ascii="Times New Roman" w:eastAsia="仿宋_GB2312" w:cs="Times New Roman" w:hAnsi="Times New Roman"/>
          <w:color w:val="000000"/>
          <w:kern w:val="0"/>
          <w:sz w:val="32"/>
          <w:szCs w:val="32"/>
          <w:shd w:val="clear" w:color="auto" w:fill="FFFFFF"/>
        </w:rPr>
        <w:t>均</w:t>
      </w:r>
      <w:r>
        <w:rPr>
          <w:rFonts w:ascii="Times New Roman" w:eastAsia="仿宋_GB2312" w:cs="Times New Roman" w:hAnsi="Times New Roman"/>
          <w:color w:val="000000"/>
          <w:kern w:val="0"/>
          <w:sz w:val="32"/>
          <w:szCs w:val="32"/>
          <w:shd w:val="clear" w:color="auto" w:fill="FFFFFF"/>
          <w:lang w:val="zh-CN"/>
        </w:rPr>
        <w:t>在规定时间完成项目入库。</w:t>
      </w:r>
    </w:p>
    <w:p>
      <w:pPr>
        <w:adjustRightInd w:val="0"/>
        <w:snapToGrid w:val="0"/>
        <w:spacing w:line="360" w:lineRule="auto"/>
        <w:ind w:firstLineChars="200" w:firstLine="640"/>
        <w:contextualSpacing/>
        <w:jc w:val="left"/>
        <w:rPr>
          <w:rFonts w:ascii="Times New Roman" w:eastAsia="仿宋_GB2312" w:cs="Times New Roman" w:hAnsi="Times New Roman"/>
          <w:color w:val="000000"/>
          <w:kern w:val="0"/>
          <w:sz w:val="32"/>
          <w:szCs w:val="32"/>
          <w:shd w:val="clear" w:color="auto" w:fill="FFFFFF"/>
          <w:lang w:val="zh-CN"/>
          <w:highlight w:val="auto"/>
        </w:rPr>
      </w:pPr>
      <w:r>
        <w:rPr>
          <w:rFonts w:ascii="Times New Roman" w:eastAsia="仿宋_GB2312" w:cs="Times New Roman" w:hAnsi="Times New Roman"/>
          <w:color w:val="000000"/>
          <w:kern w:val="0"/>
          <w:sz w:val="32"/>
          <w:szCs w:val="32"/>
          <w:shd w:val="clear" w:color="auto" w:fill="FFFFFF"/>
        </w:rPr>
        <w:t>2.项目执行</w:t>
      </w:r>
      <w:r>
        <w:rPr>
          <w:rFonts w:ascii="Times New Roman" w:eastAsia="仿宋_GB2312" w:cs="Times New Roman" w:hAnsi="Times New Roman"/>
          <w:color w:val="000000"/>
          <w:kern w:val="0"/>
          <w:sz w:val="32"/>
          <w:szCs w:val="32"/>
          <w:shd w:val="clear" w:color="auto" w:fill="FFFFFF"/>
          <w:lang w:val="zh-CN"/>
        </w:rPr>
        <w:t>。部门预算项目实际列支内容与绩效目标设置方向相符。</w:t>
      </w:r>
      <w:r>
        <w:rPr>
          <w:rFonts w:ascii="Times New Roman" w:eastAsia="仿宋_GB2312" w:cs="Times New Roman" w:hAnsi="Times New Roman"/>
          <w:color w:val="000000"/>
          <w:kern w:val="0"/>
          <w:sz w:val="32"/>
          <w:szCs w:val="32"/>
          <w:shd w:val="clear" w:color="auto" w:fill="FFFFFF"/>
        </w:rPr>
        <w:t>预算项目执行过程中，根据实际情况变化</w:t>
      </w:r>
      <w:r>
        <w:rPr>
          <w:rFonts w:ascii="Times New Roman" w:eastAsia="仿宋_GB2312" w:cs="Times New Roman" w:hAnsi="Times New Roman"/>
          <w:color w:val="000000"/>
          <w:kern w:val="0"/>
          <w:sz w:val="32"/>
          <w:szCs w:val="32"/>
          <w:shd w:val="clear" w:color="auto" w:fill="FFFFFF"/>
          <w:lang w:val="zh-CN"/>
        </w:rPr>
        <w:t>采取对应调整措施，</w:t>
      </w:r>
      <w:r>
        <w:rPr>
          <w:rFonts w:ascii="Times New Roman" w:eastAsia="仿宋_GB2312" w:cs="Times New Roman" w:hAnsi="Times New Roman"/>
          <w:color w:val="000000"/>
          <w:kern w:val="0"/>
          <w:sz w:val="32"/>
          <w:szCs w:val="32"/>
          <w:shd w:val="clear" w:color="auto" w:fill="FFFFFF"/>
        </w:rPr>
        <w:t>确保项目顺利实施并取得预期成效</w:t>
      </w:r>
      <w:r>
        <w:rPr>
          <w:rFonts w:ascii="Times New Roman" w:eastAsia="仿宋_GB2312" w:cs="Times New Roman" w:hAnsi="Times New Roman"/>
          <w:color w:val="000000"/>
          <w:kern w:val="0"/>
          <w:sz w:val="32"/>
          <w:szCs w:val="32"/>
          <w:shd w:val="clear" w:color="auto" w:fill="FFFFFF"/>
          <w:lang w:val="zh-CN"/>
        </w:rPr>
        <w:t>。</w:t>
      </w:r>
      <w:r>
        <w:rPr>
          <w:rFonts w:ascii="Times New Roman" w:eastAsia="仿宋_GB2312" w:cs="Times New Roman" w:hAnsi="Times New Roman"/>
          <w:color w:val="000000"/>
          <w:kern w:val="0"/>
          <w:sz w:val="32"/>
          <w:szCs w:val="32"/>
          <w:shd w:val="clear" w:color="auto" w:fill="FFFFFF"/>
          <w:lang w:val="en-US" w:eastAsia="zh-CN"/>
          <w:highlight w:val="auto"/>
        </w:rPr>
        <w:t>2025年部分项目</w:t>
      </w:r>
      <w:r>
        <w:rPr>
          <w:rFonts w:ascii="Times New Roman" w:eastAsia="仿宋_GB2312" w:cs="Times New Roman" w:hAnsi="Times New Roman"/>
          <w:color w:val="000000"/>
          <w:kern w:val="0"/>
          <w:sz w:val="32"/>
          <w:szCs w:val="32"/>
          <w:shd w:val="clear" w:color="auto" w:fill="FFFFFF"/>
          <w:lang w:val="zh-CN"/>
          <w:highlight w:val="auto"/>
        </w:rPr>
        <w:t>未形成支付，主要包括扫黑除恶经费</w:t>
      </w:r>
      <w:r>
        <w:rPr>
          <w:rFonts w:ascii="Times New Roman" w:eastAsia="仿宋_GB2312" w:cs="Times New Roman" w:hAnsi="Times New Roman"/>
          <w:color w:val="000000"/>
          <w:kern w:val="0"/>
          <w:sz w:val="32"/>
          <w:szCs w:val="32"/>
          <w:shd w:val="clear" w:color="auto" w:fill="FFFFFF"/>
          <w:lang w:val="en-US" w:eastAsia="zh-CN"/>
          <w:highlight w:val="auto"/>
        </w:rPr>
        <w:t>12万元、</w:t>
      </w:r>
      <w:r>
        <w:rPr>
          <w:rFonts w:ascii="Times New Roman" w:eastAsia="仿宋_GB2312" w:cs="Times New Roman" w:hAnsi="Times New Roman"/>
          <w:color w:val="000000"/>
          <w:kern w:val="0"/>
          <w:sz w:val="32"/>
          <w:szCs w:val="32"/>
          <w:shd w:val="clear" w:color="auto" w:fill="FFFFFF"/>
          <w:lang w:val="zh-CN"/>
          <w:highlight w:val="auto"/>
        </w:rPr>
        <w:t>行政复议规范化建设</w:t>
      </w:r>
      <w:r>
        <w:rPr>
          <w:rFonts w:ascii="Times New Roman" w:eastAsia="仿宋_GB2312" w:cs="Times New Roman" w:hAnsi="Times New Roman"/>
          <w:color w:val="000000"/>
          <w:kern w:val="0"/>
          <w:sz w:val="32"/>
          <w:szCs w:val="32"/>
          <w:shd w:val="clear" w:color="auto" w:fill="FFFFFF"/>
          <w:lang w:val="en-US" w:eastAsia="zh-CN"/>
          <w:highlight w:val="auto"/>
        </w:rPr>
        <w:t>10万元、向上争取资金工作经费5万元和</w:t>
      </w:r>
      <w:r>
        <w:rPr>
          <w:rFonts w:ascii="Times New Roman" w:eastAsia="仿宋_GB2312" w:cs="Times New Roman" w:hAnsi="Times New Roman"/>
          <w:color w:val="000000"/>
          <w:kern w:val="0"/>
          <w:sz w:val="32"/>
          <w:szCs w:val="32"/>
          <w:shd w:val="clear" w:color="auto" w:fill="FFFFFF"/>
          <w:lang w:val="zh-CN"/>
          <w:highlight w:val="auto"/>
        </w:rPr>
        <w:t>重大公共卫生服务项目</w:t>
      </w:r>
      <w:r>
        <w:rPr>
          <w:rFonts w:ascii="Times New Roman" w:eastAsia="仿宋_GB2312" w:cs="Times New Roman" w:hAnsi="Times New Roman"/>
          <w:color w:val="000000"/>
          <w:kern w:val="0"/>
          <w:sz w:val="32"/>
          <w:szCs w:val="32"/>
          <w:shd w:val="clear" w:color="auto" w:fill="FFFFFF"/>
          <w:lang w:val="en-US" w:eastAsia="zh-CN"/>
          <w:highlight w:val="auto"/>
        </w:rPr>
        <w:t>1万元</w:t>
      </w:r>
      <w:r>
        <w:rPr>
          <w:rFonts w:ascii="Times New Roman" w:eastAsia="仿宋_GB2312" w:cs="Times New Roman" w:hAnsi="Times New Roman"/>
          <w:color w:val="000000"/>
          <w:kern w:val="0"/>
          <w:sz w:val="32"/>
          <w:szCs w:val="32"/>
          <w:shd w:val="clear" w:color="auto" w:fill="FFFFFF"/>
          <w:lang w:val="zh-CN"/>
          <w:highlight w:val="auto"/>
        </w:rPr>
        <w:t>。</w:t>
      </w:r>
    </w:p>
    <w:p>
      <w:pPr>
        <w:adjustRightInd w:val="0"/>
        <w:snapToGrid w:val="0"/>
        <w:spacing w:line="360" w:lineRule="auto"/>
        <w:ind w:firstLineChars="200" w:firstLine="640"/>
        <w:contextualSpacing/>
        <w:jc w:val="left"/>
        <w:rPr>
          <w:rFonts w:ascii="Times New Roman" w:eastAsia="仿宋_GB2312" w:cs="Times New Roman" w:hAnsi="Times New Roman"/>
          <w:color w:val="000000"/>
          <w:kern w:val="0"/>
          <w:sz w:val="32"/>
          <w:szCs w:val="32"/>
          <w:shd w:val="clear" w:color="auto" w:fill="FFFFFF"/>
          <w:lang w:val="zh-CN"/>
        </w:rPr>
      </w:pPr>
      <w:r>
        <w:rPr>
          <w:rFonts w:ascii="Times New Roman" w:eastAsia="仿宋_GB2312" w:cs="Times New Roman" w:hAnsi="Times New Roman"/>
          <w:color w:val="000000"/>
          <w:kern w:val="0"/>
          <w:sz w:val="32"/>
          <w:szCs w:val="32"/>
          <w:shd w:val="clear" w:color="auto" w:fill="FFFFFF"/>
        </w:rPr>
        <w:t>3.</w:t>
      </w:r>
      <w:r>
        <w:rPr>
          <w:rFonts w:ascii="Times New Roman" w:eastAsia="仿宋_GB2312" w:cs="Times New Roman" w:hAnsi="Times New Roman"/>
          <w:color w:val="000000"/>
          <w:kern w:val="0"/>
          <w:sz w:val="32"/>
          <w:szCs w:val="32"/>
          <w:shd w:val="clear" w:color="auto" w:fill="FFFFFF"/>
          <w:lang w:val="zh-CN"/>
        </w:rPr>
        <w:t>目标实现。</w:t>
      </w:r>
      <w:r>
        <w:rPr>
          <w:rFonts w:ascii="Times New Roman" w:eastAsia="仿宋_GB2312" w:cs="Times New Roman" w:hAnsi="Times New Roman"/>
          <w:color w:val="000000"/>
          <w:kern w:val="0"/>
          <w:sz w:val="32"/>
          <w:szCs w:val="32"/>
          <w:shd w:val="clear" w:color="auto" w:fill="FFFFFF"/>
        </w:rPr>
        <w:t>202</w:t>
      </w:r>
      <w:r>
        <w:rPr>
          <w:rFonts w:ascii="Times New Roman" w:eastAsia="仿宋_GB2312" w:cs="Times New Roman" w:hAnsi="Times New Roman"/>
          <w:color w:val="000000"/>
          <w:kern w:val="0"/>
          <w:sz w:val="32"/>
          <w:szCs w:val="32"/>
          <w:shd w:val="clear" w:color="auto" w:fill="FFFFFF"/>
          <w:lang w:val="en-US" w:eastAsia="zh-CN"/>
        </w:rPr>
        <w:t>5</w:t>
      </w:r>
      <w:r>
        <w:rPr>
          <w:rFonts w:ascii="Times New Roman" w:eastAsia="仿宋_GB2312" w:cs="Times New Roman" w:hAnsi="Times New Roman"/>
          <w:color w:val="000000"/>
          <w:kern w:val="0"/>
          <w:sz w:val="32"/>
          <w:szCs w:val="32"/>
          <w:shd w:val="clear" w:color="auto" w:fill="FFFFFF"/>
        </w:rPr>
        <w:t>年</w:t>
      </w:r>
      <w:r>
        <w:rPr>
          <w:rFonts w:ascii="Times New Roman" w:eastAsia="仿宋_GB2312" w:cs="Times New Roman" w:hAnsi="Times New Roman"/>
          <w:color w:val="000000"/>
          <w:kern w:val="0"/>
          <w:sz w:val="32"/>
          <w:szCs w:val="32"/>
          <w:shd w:val="clear" w:color="auto" w:fill="FFFFFF"/>
          <w:lang w:val="zh-CN"/>
        </w:rPr>
        <w:t>部门预算项目绩效目标</w:t>
      </w:r>
      <w:r>
        <w:rPr>
          <w:rFonts w:ascii="Times New Roman" w:eastAsia="仿宋_GB2312" w:cs="Times New Roman" w:hAnsi="Times New Roman"/>
          <w:color w:val="000000"/>
          <w:kern w:val="0"/>
          <w:sz w:val="32"/>
          <w:szCs w:val="32"/>
          <w:shd w:val="clear" w:color="auto" w:fill="FFFFFF"/>
        </w:rPr>
        <w:t>全部达成，</w:t>
      </w:r>
      <w:r>
        <w:rPr>
          <w:rFonts w:ascii="Times New Roman" w:eastAsia="仿宋_GB2312" w:cs="Times New Roman" w:hAnsi="Times New Roman"/>
          <w:color w:val="000000"/>
          <w:kern w:val="0"/>
          <w:sz w:val="32"/>
          <w:szCs w:val="32"/>
          <w:shd w:val="clear" w:color="auto" w:fill="FFFFFF"/>
          <w:lang w:val="zh-CN"/>
        </w:rPr>
        <w:t>实现程度与预期目标</w:t>
      </w:r>
      <w:r>
        <w:rPr>
          <w:rFonts w:ascii="Times New Roman" w:eastAsia="仿宋_GB2312" w:cs="Times New Roman" w:hAnsi="Times New Roman"/>
          <w:color w:val="000000"/>
          <w:kern w:val="0"/>
          <w:sz w:val="32"/>
          <w:szCs w:val="32"/>
          <w:shd w:val="clear" w:color="auto" w:fill="FFFFFF"/>
        </w:rPr>
        <w:t>无偏离，各项效益指标均已实现</w:t>
      </w:r>
      <w:r>
        <w:rPr>
          <w:rFonts w:ascii="Times New Roman" w:eastAsia="仿宋_GB2312" w:cs="Times New Roman" w:hAnsi="Times New Roman"/>
          <w:color w:val="000000"/>
          <w:kern w:val="0"/>
          <w:sz w:val="32"/>
          <w:szCs w:val="32"/>
          <w:shd w:val="clear" w:color="auto" w:fill="FFFFFF"/>
          <w:lang w:val="zh-CN"/>
        </w:rPr>
        <w:t>。</w:t>
      </w:r>
    </w:p>
    <w:p>
      <w:pPr>
        <w:spacing w:line="360" w:lineRule="auto"/>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202</w:t>
      </w:r>
      <w:r>
        <w:rPr>
          <w:rFonts w:ascii="Times New Roman" w:eastAsia="仿宋_GB2312" w:cs="Times New Roman" w:hAnsi="Times New Roman"/>
          <w:sz w:val="32"/>
          <w:szCs w:val="32"/>
          <w:lang w:val="en-US" w:eastAsia="zh-CN"/>
        </w:rPr>
        <w:t>5</w:t>
      </w:r>
      <w:r>
        <w:rPr>
          <w:rFonts w:ascii="Times New Roman" w:eastAsia="仿宋_GB2312" w:cs="Times New Roman" w:hAnsi="Times New Roman"/>
          <w:sz w:val="32"/>
          <w:szCs w:val="32"/>
        </w:rPr>
        <w:t>年度攀枝花市司法局无政府性基金预算、国有资本经营预算安排的常年项目、阶段项目，未安排有债券资金。中央和省级转移支付项目已按照上级主管部门要求，汇总全市司法行政系统相关数据单独开展绩效自评工作。</w:t>
      </w:r>
    </w:p>
    <w:p>
      <w:pPr>
        <w:snapToGrid w:val="0"/>
        <w:spacing w:line="360" w:lineRule="auto"/>
        <w:ind w:firstLineChars="200" w:firstLine="640"/>
        <w:rPr>
          <w:rFonts w:ascii="Times New Roman" w:eastAsia="楷体_GB2312" w:cs="Times New Roman" w:hAnsi="Times New Roman"/>
          <w:b/>
          <w:bCs/>
          <w:sz w:val="32"/>
          <w:szCs w:val="32"/>
          <w:lang w:val="zh-CN"/>
        </w:rPr>
      </w:pPr>
      <w:r>
        <w:rPr>
          <w:rFonts w:ascii="Times New Roman" w:eastAsia="楷体_GB2312" w:cs="Times New Roman" w:hAnsi="Times New Roman"/>
          <w:b/>
          <w:bCs/>
          <w:color w:val="000000"/>
          <w:kern w:val="0"/>
          <w:sz w:val="32"/>
          <w:szCs w:val="32"/>
          <w:shd w:val="clear" w:color="auto" w:fill="FFFFFF"/>
          <w:lang w:val="zh-CN"/>
        </w:rPr>
        <w:t>（三）</w:t>
      </w:r>
      <w:r>
        <w:rPr>
          <w:rFonts w:ascii="Times New Roman" w:eastAsia="楷体_GB2312" w:cs="Times New Roman" w:hAnsi="Times New Roman"/>
          <w:b/>
          <w:bCs/>
          <w:sz w:val="32"/>
          <w:szCs w:val="32"/>
          <w:lang w:val="zh-CN"/>
        </w:rPr>
        <w:t>绩效结果应用情况。</w:t>
      </w:r>
    </w:p>
    <w:p>
      <w:pPr>
        <w:spacing w:line="360" w:lineRule="auto"/>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按照绩效管理的相关要求，攀枝花市司法局将整体支出绩效目标评价纳入到单位内部控制管理和考核体系当中，认真组织整体支出绩效目标评价，并将部门预算资金使用情况和绩效目标评价结果进行信息公开，对出现绩效目标偏差的情况进行分析，拟定针对性措施及时纠偏。同时，当年整体支出绩效目标评价也将应用于第二年部门预算编制和绩效目标设定，确保部门预算编制和绩效目标设定更加科学、客观、符合实际，发挥财政资金最大效益。</w:t>
      </w:r>
    </w:p>
    <w:p>
      <w:pPr>
        <w:widowControl/>
        <w:adjustRightInd w:val="0"/>
        <w:snapToGrid w:val="0"/>
        <w:spacing w:line="360" w:lineRule="auto"/>
        <w:ind w:firstLineChars="200" w:firstLine="640"/>
        <w:contextualSpacing/>
        <w:jc w:val="left"/>
        <w:rPr>
          <w:rFonts w:ascii="Times New Roman" w:eastAsia="黑体" w:cs="Times New Roman" w:hAnsi="Times New Roman"/>
          <w:color w:val="000000"/>
          <w:kern w:val="0"/>
          <w:sz w:val="32"/>
          <w:szCs w:val="32"/>
          <w:shd w:val="clear" w:color="auto" w:fill="FFFFFF"/>
        </w:rPr>
      </w:pPr>
      <w:bookmarkStart w:id="116" w:name="_Toc1030630918_WPSOffice_Level2"/>
      <w:bookmarkStart w:id="117" w:name="_Toc478510634_WPSOffice_Level2"/>
      <w:r>
        <w:rPr>
          <w:rFonts w:ascii="Times New Roman" w:eastAsia="黑体" w:cs="Times New Roman" w:hAnsi="Times New Roman"/>
          <w:color w:val="000000"/>
          <w:kern w:val="0"/>
          <w:sz w:val="32"/>
          <w:szCs w:val="32"/>
          <w:shd w:val="clear" w:color="auto" w:fill="FFFFFF"/>
        </w:rPr>
        <w:t>四、评价结论及建议</w:t>
      </w:r>
      <w:bookmarkEnd w:id="116"/>
      <w:bookmarkEnd w:id="117"/>
    </w:p>
    <w:p>
      <w:pPr>
        <w:widowControl/>
        <w:autoSpaceDN w:val="0"/>
        <w:adjustRightInd w:val="0"/>
        <w:snapToGrid w:val="0"/>
        <w:spacing w:line="360" w:lineRule="auto"/>
        <w:ind w:firstLineChars="200" w:firstLine="640"/>
        <w:rPr>
          <w:rFonts w:ascii="Times New Roman" w:cs="Times New Roman" w:hAnsi="Times New Roman"/>
          <w:kern w:val="0"/>
          <w:sz w:val="32"/>
          <w:szCs w:val="32"/>
        </w:rPr>
      </w:pPr>
      <w:r>
        <w:rPr>
          <w:rFonts w:ascii="Times New Roman" w:eastAsia="楷体_GB2312" w:cs="Times New Roman" w:hAnsi="Times New Roman"/>
          <w:b/>
          <w:bCs/>
          <w:color w:val="000000"/>
          <w:kern w:val="0"/>
          <w:sz w:val="32"/>
          <w:szCs w:val="32"/>
          <w:shd w:val="clear" w:color="auto" w:fill="FFFFFF"/>
          <w:lang w:val="zh-CN"/>
        </w:rPr>
        <w:t>（一）评价结论。</w:t>
      </w:r>
    </w:p>
    <w:p>
      <w:pPr>
        <w:pStyle w:val="16"/>
        <w:spacing w:line="360" w:lineRule="auto"/>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按照政府会计制度，攀枝花市司法局科学、合理编制部门预算和设定整体支出绩效目标，在预算执行过程中严格执行财经纪律相关规定，坚持预算执行和绩效目标过程监控，较好地完成了绩效目标管理各项要求，顺利完成了202</w:t>
      </w:r>
      <w:r>
        <w:rPr>
          <w:rFonts w:ascii="Times New Roman" w:eastAsia="仿宋_GB2312" w:cs="Times New Roman" w:hAnsi="Times New Roman"/>
          <w:sz w:val="32"/>
          <w:szCs w:val="32"/>
          <w:lang w:val="en-US" w:eastAsia="zh-CN"/>
        </w:rPr>
        <w:t>5</w:t>
      </w:r>
      <w:r>
        <w:rPr>
          <w:rFonts w:ascii="Times New Roman" w:eastAsia="仿宋_GB2312" w:cs="Times New Roman" w:hAnsi="Times New Roman"/>
          <w:sz w:val="32"/>
          <w:szCs w:val="32"/>
        </w:rPr>
        <w:t>年度部门整体支出绩效目标，充分发挥了财政资金效能，有效推动司法行政业务工作，高效统筹法治攀枝花建设，切实履行行政立法、行政执法、刑事执行和公共法律服务职能，积极化解社会矛盾纠纷，不断优化营商环境，护航攀枝花高质量发展建设共同富裕实验区。202</w:t>
      </w:r>
      <w:r>
        <w:rPr>
          <w:rFonts w:ascii="Times New Roman" w:eastAsia="仿宋_GB2312" w:cs="Times New Roman" w:hAnsi="Times New Roman"/>
          <w:sz w:val="32"/>
          <w:szCs w:val="32"/>
          <w:lang w:val="en-US" w:eastAsia="zh-CN"/>
        </w:rPr>
        <w:t>5</w:t>
      </w:r>
      <w:r>
        <w:rPr>
          <w:rFonts w:ascii="Times New Roman" w:eastAsia="仿宋_GB2312" w:cs="Times New Roman" w:hAnsi="Times New Roman"/>
          <w:sz w:val="32"/>
          <w:szCs w:val="32"/>
        </w:rPr>
        <w:t>年度部门预算绩效自评得分</w:t>
      </w:r>
      <w:r>
        <w:rPr>
          <w:rFonts w:ascii="Times New Roman" w:eastAsia="仿宋_GB2312" w:cs="Times New Roman" w:hAnsi="Times New Roman"/>
          <w:sz w:val="32"/>
          <w:szCs w:val="32"/>
          <w:lang w:val="en-US" w:eastAsia="zh-CN"/>
        </w:rPr>
        <w:t>96.44</w:t>
      </w:r>
      <w:r>
        <w:rPr>
          <w:rFonts w:ascii="Times New Roman" w:eastAsia="仿宋_GB2312" w:cs="Times New Roman" w:hAnsi="Times New Roman"/>
          <w:sz w:val="32"/>
          <w:szCs w:val="32"/>
        </w:rPr>
        <w:t>分。</w:t>
      </w:r>
    </w:p>
    <w:p>
      <w:pPr>
        <w:widowControl/>
        <w:adjustRightInd w:val="0"/>
        <w:snapToGrid w:val="0"/>
        <w:spacing w:line="360" w:lineRule="auto"/>
        <w:ind w:firstLineChars="200" w:firstLine="640"/>
        <w:contextualSpacing/>
        <w:jc w:val="left"/>
        <w:rPr>
          <w:rFonts w:ascii="Times New Roman" w:cs="Times New Roman" w:hAnsi="Times New Roman"/>
          <w:w w:val="95"/>
          <w:kern w:val="0"/>
          <w:sz w:val="32"/>
          <w:szCs w:val="32"/>
        </w:rPr>
      </w:pPr>
      <w:r>
        <w:rPr>
          <w:rFonts w:ascii="Times New Roman" w:eastAsia="楷体_GB2312" w:cs="Times New Roman" w:hAnsi="Times New Roman"/>
          <w:b/>
          <w:bCs/>
          <w:color w:val="000000"/>
          <w:kern w:val="0"/>
          <w:sz w:val="32"/>
          <w:szCs w:val="32"/>
          <w:shd w:val="clear" w:color="auto" w:fill="FFFFFF"/>
          <w:lang w:val="zh-CN"/>
        </w:rPr>
        <w:t>（二）存在问题。</w:t>
      </w:r>
    </w:p>
    <w:p>
      <w:pPr>
        <w:widowControl/>
        <w:adjustRightInd w:val="0"/>
        <w:snapToGrid w:val="0"/>
        <w:spacing w:line="360" w:lineRule="auto"/>
        <w:ind w:firstLineChars="200" w:firstLine="640"/>
        <w:contextualSpacing/>
        <w:jc w:val="left"/>
        <w:rPr>
          <w:rFonts w:ascii="Times New Roman" w:eastAsia="仿宋_GB2312" w:cs="Times New Roman" w:hAnsi="Times New Roman"/>
          <w:b/>
          <w:bCs/>
          <w:color w:val="000000"/>
          <w:kern w:val="0"/>
          <w:sz w:val="32"/>
          <w:szCs w:val="32"/>
          <w:shd w:val="clear" w:color="auto" w:fill="FFFFFF"/>
          <w:lang w:val="zh-CN" w:eastAsia="zh-CN"/>
        </w:rPr>
      </w:pPr>
      <w:r>
        <w:rPr>
          <w:rFonts w:ascii="Times New Roman" w:eastAsia="仿宋_GB2312" w:cs="Times New Roman" w:hAnsi="Times New Roman"/>
          <w:sz w:val="32"/>
          <w:szCs w:val="32"/>
          <w:lang w:eastAsia="zh-CN"/>
        </w:rPr>
        <w:t>一是个别项目实施进度滞后。行政复议规范化建设项目，</w:t>
      </w:r>
      <w:r>
        <w:rPr>
          <w:rFonts w:ascii="Times New Roman" w:eastAsia="仿宋_GB2312" w:cs="Times New Roman" w:hAnsi="Times New Roman"/>
          <w:sz w:val="32"/>
          <w:szCs w:val="32"/>
          <w:lang w:val="en-US" w:eastAsia="zh-CN"/>
        </w:rPr>
        <w:t>2025年已完成前期规划设计和施工概算，但</w:t>
      </w:r>
      <w:r>
        <w:rPr>
          <w:rFonts w:ascii="Times New Roman" w:eastAsia="仿宋_GB2312" w:cs="Times New Roman" w:hAnsi="Times New Roman"/>
          <w:sz w:val="32"/>
          <w:szCs w:val="32"/>
          <w:lang w:eastAsia="zh-CN"/>
        </w:rPr>
        <w:t>因场地尚不具备施工条件，而致项目推进滞后。二是部分项目预算不足。</w:t>
      </w:r>
      <w:r>
        <w:rPr>
          <w:rFonts w:ascii="Times New Roman" w:eastAsia="仿宋_GB2312" w:cs="Times New Roman" w:hAnsi="Times New Roman"/>
          <w:sz w:val="32"/>
          <w:szCs w:val="32"/>
        </w:rPr>
        <w:t>仲裁业务费项目和公证业务费项目，年初预算安排不足，无法有效保障非税收入征收成本支出和相关业务拓展需要</w:t>
      </w:r>
      <w:r>
        <w:rPr>
          <w:rFonts w:ascii="Times New Roman" w:eastAsia="仿宋_GB2312" w:cs="Times New Roman" w:hAnsi="Times New Roman"/>
          <w:sz w:val="32"/>
          <w:szCs w:val="32"/>
          <w:lang w:eastAsia="zh-CN"/>
        </w:rPr>
        <w:t>，拖欠仲裁员报酬情况较严重</w:t>
      </w:r>
      <w:r>
        <w:rPr>
          <w:rFonts w:ascii="Times New Roman" w:eastAsia="仿宋_GB2312" w:cs="Times New Roman" w:hAnsi="Times New Roman"/>
          <w:sz w:val="32"/>
          <w:szCs w:val="32"/>
        </w:rPr>
        <w:t>。</w:t>
      </w:r>
      <w:r>
        <w:rPr>
          <w:rFonts w:ascii="Times New Roman" w:eastAsia="仿宋_GB2312" w:cs="Times New Roman" w:hAnsi="Times New Roman"/>
          <w:sz w:val="32"/>
          <w:szCs w:val="32"/>
          <w:lang w:eastAsia="zh-CN"/>
        </w:rPr>
        <w:t>三是部分项目已实施完毕而未能及时兑付相关费用。</w:t>
      </w:r>
    </w:p>
    <w:p>
      <w:pPr>
        <w:widowControl/>
        <w:adjustRightInd w:val="0"/>
        <w:snapToGrid w:val="0"/>
        <w:spacing w:line="360" w:lineRule="auto"/>
        <w:ind w:firstLineChars="200" w:firstLine="640"/>
        <w:contextualSpacing/>
        <w:jc w:val="left"/>
        <w:rPr>
          <w:rFonts w:ascii="Times New Roman" w:eastAsia="楷体_GB2312" w:cs="Times New Roman" w:hAnsi="Times New Roman"/>
          <w:b/>
          <w:bCs/>
          <w:color w:val="000000"/>
          <w:kern w:val="0"/>
          <w:sz w:val="32"/>
          <w:szCs w:val="32"/>
          <w:shd w:val="clear" w:color="auto" w:fill="FFFFFF"/>
          <w:lang w:val="zh-CN"/>
        </w:rPr>
      </w:pPr>
      <w:r>
        <w:rPr>
          <w:rFonts w:ascii="Times New Roman" w:eastAsia="楷体_GB2312" w:cs="Times New Roman" w:hAnsi="Times New Roman"/>
          <w:b/>
          <w:bCs/>
          <w:color w:val="000000"/>
          <w:kern w:val="0"/>
          <w:sz w:val="32"/>
          <w:szCs w:val="32"/>
          <w:shd w:val="clear" w:color="auto" w:fill="FFFFFF"/>
          <w:lang w:val="zh-CN"/>
        </w:rPr>
        <w:t>（三）改进建议。</w:t>
      </w:r>
      <w:bookmarkStart w:id="118" w:name="_Hlk110546638"/>
    </w:p>
    <w:p>
      <w:pPr>
        <w:widowControl/>
        <w:adjustRightInd w:val="0"/>
        <w:snapToGrid w:val="0"/>
        <w:spacing w:line="360" w:lineRule="auto"/>
        <w:ind w:firstLineChars="200" w:firstLine="640"/>
        <w:contextualSpacing/>
        <w:jc w:val="left"/>
        <w:rPr>
          <w:rFonts w:ascii="Times New Roman" w:eastAsia="仿宋_GB2312" w:cs="Times New Roman" w:hAnsi="Times New Roman"/>
          <w:kern w:val="0"/>
          <w:sz w:val="32"/>
          <w:szCs w:val="32"/>
        </w:rPr>
      </w:pPr>
      <w:r>
        <w:rPr>
          <w:rFonts w:ascii="Times New Roman" w:eastAsia="仿宋_GB2312" w:cs="Times New Roman" w:hAnsi="Times New Roman"/>
          <w:sz w:val="32"/>
          <w:szCs w:val="32"/>
          <w:lang w:val="zh-CN"/>
        </w:rPr>
        <w:t>一是加快推进行政复议规范化建设项目，进一步完善规划设计，积极协调落实施工场地，加快施工组织，确保</w:t>
      </w:r>
      <w:r>
        <w:rPr>
          <w:rFonts w:ascii="Times New Roman" w:eastAsia="仿宋_GB2312" w:cs="Times New Roman" w:hAnsi="Times New Roman"/>
          <w:sz w:val="32"/>
          <w:szCs w:val="32"/>
          <w:lang w:val="en-US" w:eastAsia="zh-CN"/>
        </w:rPr>
        <w:t>2026年内完成。二是向市财政积极</w:t>
      </w:r>
      <w:r>
        <w:rPr>
          <w:rFonts w:ascii="Times New Roman" w:eastAsia="仿宋_GB2312" w:cs="Times New Roman" w:hAnsi="Times New Roman"/>
          <w:sz w:val="32"/>
          <w:szCs w:val="32"/>
        </w:rPr>
        <w:t>争取加大仲裁业务费和公证业务费预算资金保障，确保</w:t>
      </w:r>
      <w:r>
        <w:rPr>
          <w:rFonts w:ascii="Times New Roman" w:eastAsia="仿宋_GB2312" w:cs="Times New Roman" w:hAnsi="Times New Roman"/>
          <w:sz w:val="32"/>
          <w:szCs w:val="32"/>
          <w:lang w:eastAsia="zh-CN"/>
        </w:rPr>
        <w:t>人员报酬及时兑付</w:t>
      </w:r>
      <w:r>
        <w:rPr>
          <w:rFonts w:ascii="Times New Roman" w:eastAsia="仿宋_GB2312" w:cs="Times New Roman" w:hAnsi="Times New Roman"/>
          <w:sz w:val="32"/>
          <w:szCs w:val="32"/>
        </w:rPr>
        <w:t>及全年非税收入目标达成</w:t>
      </w:r>
      <w:r>
        <w:rPr>
          <w:rFonts w:ascii="Times New Roman" w:eastAsia="仿宋_GB2312" w:cs="Times New Roman" w:hAnsi="Times New Roman"/>
          <w:sz w:val="32"/>
          <w:szCs w:val="32"/>
          <w:lang w:val="zh-CN"/>
        </w:rPr>
        <w:t>。三是加强与市财政国库等部门的沟通协调，提高预算资金执行率，保障各项业务顺利实施达成全年目标。</w:t>
      </w:r>
    </w:p>
    <w:p>
      <w:pPr>
        <w:pStyle w:val="18"/>
        <w:spacing w:line="560" w:lineRule="exact"/>
        <w:ind w:leftChars="0" w:left="0"/>
        <w:rPr>
          <w:rFonts w:ascii="Times New Roman" w:eastAsia="仿宋_GB2312" w:cs="Times New Roman" w:hAnsi="Times New Roman"/>
          <w:sz w:val="32"/>
          <w:lang w:val="zh-CN"/>
        </w:rPr>
      </w:pPr>
      <w:bookmarkEnd w:id="118"/>
    </w:p>
    <w:p>
      <w:pPr>
        <w:pStyle w:val="18"/>
        <w:spacing w:line="560" w:lineRule="exact"/>
        <w:ind w:leftChars="0" w:left="0"/>
        <w:rPr>
          <w:rFonts w:ascii="Times New Roman" w:eastAsia="仿宋_GB2312" w:cs="Times New Roman" w:hAnsi="Times New Roman"/>
          <w:sz w:val="32"/>
          <w:lang w:val="zh-CN"/>
        </w:rPr>
      </w:pPr>
      <w:r>
        <w:rPr>
          <w:rFonts w:ascii="Times New Roman" w:eastAsia="仿宋_GB2312" w:cs="Times New Roman" w:hAnsi="Times New Roman"/>
          <w:sz w:val="32"/>
          <w:lang w:val="zh-CN"/>
        </w:rPr>
        <w:t>附表：</w:t>
      </w:r>
      <w:r>
        <w:rPr>
          <w:rFonts w:ascii="Times New Roman" w:eastAsia="仿宋_GB2312" w:cs="Times New Roman" w:hAnsi="Times New Roman"/>
          <w:sz w:val="32"/>
        </w:rPr>
        <w:t>部门预算项目支出绩效自评表（2025年度）</w:t>
      </w:r>
    </w:p>
    <w:p>
      <w:pPr>
        <w:pStyle w:val="18"/>
        <w:spacing w:line="560" w:lineRule="exact"/>
        <w:ind w:leftChars="0" w:left="0" w:firstLineChars="0" w:firstLine="0"/>
        <w:rPr>
          <w:rFonts w:ascii="Times New Roman" w:cs="Times New Roman" w:hAnsi="Times New Roman"/>
          <w:sz w:val="32"/>
          <w:lang w:val="zh-CN"/>
          <w:highlight w:val="yellow"/>
        </w:rPr>
      </w:pPr>
    </w:p>
    <w:p>
      <w:pPr>
        <w:pStyle w:val="16"/>
        <w:spacing w:beforeLines="0" w:before="93"/>
        <w:rPr>
          <w:rFonts w:ascii="Times New Roman" w:cs="Times New Roman" w:hAnsi="Times New Roman"/>
          <w:color w:val="FF0000"/>
          <w:sz w:val="32"/>
          <w:szCs w:val="32"/>
          <w:shd w:val="clear" w:color="auto" w:fill="FFFFFF"/>
          <w:lang w:val="zh-CN"/>
          <w:highlight w:val="yellow"/>
        </w:rPr>
      </w:pPr>
    </w:p>
    <w:p>
      <w:pPr>
        <w:rPr>
          <w:rFonts w:ascii="Times New Roman" w:eastAsia="黑体" w:cs="Times New Roman" w:hAnsi="Times New Roman"/>
          <w:kern w:val="0"/>
          <w:sz w:val="32"/>
          <w:szCs w:val="32"/>
          <w:shd w:val="clear" w:color="auto" w:fill="FFFFFF"/>
          <w:lang w:val="zh-CN"/>
        </w:rPr>
      </w:pPr>
      <w:r>
        <w:rPr>
          <w:rFonts w:ascii="Times New Roman" w:eastAsia="黑体" w:cs="Times New Roman" w:hAnsi="Times New Roman"/>
          <w:kern w:val="0"/>
          <w:sz w:val="32"/>
          <w:szCs w:val="32"/>
          <w:shd w:val="clear" w:color="auto" w:fill="FFFFFF"/>
          <w:lang w:val="zh-CN"/>
        </w:rPr>
        <w:br w:type="page"/>
      </w:r>
    </w:p>
    <w:p>
      <w:pPr>
        <w:widowControl/>
        <w:jc w:val="center"/>
        <w:rPr>
          <w:rFonts w:ascii="Times New Roman" w:eastAsia="仿宋" w:cs="Times New Roman" w:hAnsi="Times New Roman"/>
        </w:rPr>
      </w:pPr>
      <w:bookmarkStart w:id="119" w:name="_Toc15396618"/>
      <w:bookmarkStart w:id="120" w:name="_Toc1308185382_WPSOffice_Level1"/>
      <w:r>
        <w:rPr>
          <w:rFonts w:ascii="Times New Roman" w:eastAsia="黑体" w:cs="Times New Roman" w:hAnsi="Times New Roman"/>
          <w:sz w:val="44"/>
          <w:szCs w:val="44"/>
        </w:rPr>
        <w:t>第</w:t>
      </w:r>
      <w:r>
        <w:rPr>
          <w:rStyle w:val="1Char"/>
          <w:rFonts w:ascii="Times New Roman" w:eastAsia="黑体" w:cs="Times New Roman" w:hAnsi="Times New Roman"/>
          <w:b w:val="0"/>
        </w:rPr>
        <w:t>五部分 附表</w:t>
      </w:r>
      <w:bookmarkStart w:id="121" w:name="_Toc15396619"/>
      <w:bookmarkEnd w:id="103"/>
      <w:bookmarkEnd w:id="119"/>
      <w:bookmarkEnd w:id="120"/>
    </w:p>
    <w:p>
      <w:pPr>
        <w:pStyle w:val="24"/>
        <w:tabs>
          <w:tab w:val="right" w:leader="dot" w:pos="8296"/>
        </w:tabs>
        <w:adjustRightInd w:val="0"/>
        <w:snapToGrid w:val="0"/>
        <w:spacing w:line="560" w:lineRule="exact"/>
        <w:jc w:val="left"/>
        <w:rPr>
          <w:rFonts w:ascii="Times New Roman" w:eastAsia="仿宋_GB2312" w:cs="Times New Roman" w:hAnsi="Times New Roman"/>
          <w:sz w:val="32"/>
          <w:szCs w:val="32"/>
        </w:rPr>
      </w:pPr>
    </w:p>
    <w:p>
      <w:pPr>
        <w:pStyle w:val="24"/>
        <w:tabs>
          <w:tab w:val="right" w:leader="dot" w:pos="8296"/>
        </w:tabs>
        <w:adjustRightInd w:val="0"/>
        <w:snapToGrid w:val="0"/>
        <w:spacing w:line="560" w:lineRule="exact"/>
        <w:jc w:val="left"/>
        <w:rPr>
          <w:rFonts w:ascii="Times New Roman" w:eastAsia="仿宋_GB2312" w:cs="Times New Roman" w:hAnsi="Times New Roman"/>
          <w:sz w:val="32"/>
          <w:szCs w:val="32"/>
        </w:rPr>
      </w:pPr>
      <w:bookmarkStart w:id="122" w:name="_Toc1661203603_WPSOffice_Level2"/>
      <w:r>
        <w:rPr>
          <w:rFonts w:ascii="Times New Roman" w:eastAsia="仿宋_GB2312" w:cs="Times New Roman" w:hAnsi="Times New Roman"/>
          <w:sz w:val="32"/>
          <w:szCs w:val="32"/>
        </w:rPr>
        <w:t>一、收入支出决算总表</w:t>
      </w:r>
      <w:bookmarkEnd w:id="121"/>
      <w:bookmarkEnd w:id="122"/>
    </w:p>
    <w:p>
      <w:pPr>
        <w:pStyle w:val="24"/>
        <w:tabs>
          <w:tab w:val="right" w:leader="dot" w:pos="8296"/>
        </w:tabs>
        <w:adjustRightInd w:val="0"/>
        <w:snapToGrid w:val="0"/>
        <w:spacing w:line="560" w:lineRule="exact"/>
        <w:jc w:val="left"/>
        <w:rPr>
          <w:rFonts w:ascii="Times New Roman" w:eastAsia="仿宋_GB2312" w:cs="Times New Roman" w:hAnsi="Times New Roman"/>
          <w:sz w:val="32"/>
          <w:szCs w:val="32"/>
        </w:rPr>
      </w:pPr>
      <w:bookmarkStart w:id="123" w:name="_Toc15396620"/>
      <w:bookmarkStart w:id="124" w:name="_Toc1211562788_WPSOffice_Level2"/>
      <w:r>
        <w:rPr>
          <w:rFonts w:ascii="Times New Roman" w:eastAsia="仿宋_GB2312" w:cs="Times New Roman" w:hAnsi="Times New Roman"/>
          <w:sz w:val="32"/>
          <w:szCs w:val="32"/>
        </w:rPr>
        <w:t>二、收入决算表</w:t>
      </w:r>
      <w:bookmarkEnd w:id="123"/>
      <w:bookmarkEnd w:id="124"/>
    </w:p>
    <w:p>
      <w:pPr>
        <w:pStyle w:val="24"/>
        <w:tabs>
          <w:tab w:val="right" w:leader="dot" w:pos="8296"/>
        </w:tabs>
        <w:adjustRightInd w:val="0"/>
        <w:snapToGrid w:val="0"/>
        <w:spacing w:line="560" w:lineRule="exact"/>
        <w:jc w:val="left"/>
        <w:rPr>
          <w:rFonts w:ascii="Times New Roman" w:eastAsia="仿宋_GB2312" w:cs="Times New Roman" w:hAnsi="Times New Roman"/>
          <w:sz w:val="32"/>
          <w:szCs w:val="32"/>
        </w:rPr>
      </w:pPr>
      <w:bookmarkStart w:id="125" w:name="_Toc15396621"/>
      <w:bookmarkStart w:id="126" w:name="_Toc2075949890_WPSOffice_Level2"/>
      <w:r>
        <w:rPr>
          <w:rFonts w:ascii="Times New Roman" w:eastAsia="仿宋_GB2312" w:cs="Times New Roman" w:hAnsi="Times New Roman"/>
          <w:sz w:val="32"/>
          <w:szCs w:val="32"/>
        </w:rPr>
        <w:t>三、支出决算表</w:t>
      </w:r>
      <w:bookmarkEnd w:id="125"/>
      <w:bookmarkEnd w:id="126"/>
    </w:p>
    <w:p>
      <w:pPr>
        <w:pStyle w:val="24"/>
        <w:tabs>
          <w:tab w:val="right" w:leader="dot" w:pos="8296"/>
        </w:tabs>
        <w:adjustRightInd w:val="0"/>
        <w:snapToGrid w:val="0"/>
        <w:spacing w:line="560" w:lineRule="exact"/>
        <w:jc w:val="left"/>
        <w:rPr>
          <w:rFonts w:ascii="Times New Roman" w:eastAsia="仿宋_GB2312" w:cs="Times New Roman" w:hAnsi="Times New Roman"/>
          <w:sz w:val="32"/>
          <w:szCs w:val="32"/>
        </w:rPr>
      </w:pPr>
      <w:bookmarkStart w:id="127" w:name="_Toc15396622"/>
      <w:bookmarkStart w:id="128" w:name="_Toc484327520_WPSOffice_Level2"/>
      <w:r>
        <w:rPr>
          <w:rFonts w:ascii="Times New Roman" w:eastAsia="仿宋_GB2312" w:cs="Times New Roman" w:hAnsi="Times New Roman"/>
          <w:sz w:val="32"/>
          <w:szCs w:val="32"/>
        </w:rPr>
        <w:t>四、财政拨款收入支出决算总表</w:t>
      </w:r>
      <w:bookmarkEnd w:id="127"/>
      <w:bookmarkEnd w:id="128"/>
    </w:p>
    <w:p>
      <w:pPr>
        <w:pStyle w:val="24"/>
        <w:tabs>
          <w:tab w:val="right" w:leader="dot" w:pos="8296"/>
        </w:tabs>
        <w:adjustRightInd w:val="0"/>
        <w:snapToGrid w:val="0"/>
        <w:spacing w:line="560" w:lineRule="exact"/>
        <w:jc w:val="left"/>
        <w:rPr>
          <w:rFonts w:ascii="Times New Roman" w:eastAsia="仿宋_GB2312" w:cs="Times New Roman" w:hAnsi="Times New Roman"/>
          <w:sz w:val="32"/>
          <w:szCs w:val="32"/>
        </w:rPr>
      </w:pPr>
      <w:bookmarkStart w:id="129" w:name="_Toc15396623"/>
      <w:bookmarkStart w:id="130" w:name="_Toc1500766610_WPSOffice_Level2"/>
      <w:r>
        <w:rPr>
          <w:rFonts w:ascii="Times New Roman" w:eastAsia="仿宋_GB2312" w:cs="Times New Roman" w:hAnsi="Times New Roman"/>
          <w:sz w:val="32"/>
          <w:szCs w:val="32"/>
        </w:rPr>
        <w:t>五、财政拨款支出决算明细表</w:t>
      </w:r>
      <w:bookmarkStart w:id="131" w:name="_Toc15396624"/>
      <w:bookmarkEnd w:id="129"/>
      <w:bookmarkEnd w:id="130"/>
    </w:p>
    <w:p>
      <w:pPr>
        <w:pStyle w:val="24"/>
        <w:tabs>
          <w:tab w:val="right" w:leader="dot" w:pos="8296"/>
        </w:tabs>
        <w:adjustRightInd w:val="0"/>
        <w:snapToGrid w:val="0"/>
        <w:spacing w:line="560" w:lineRule="exact"/>
        <w:jc w:val="left"/>
        <w:rPr>
          <w:rFonts w:ascii="Times New Roman" w:eastAsia="仿宋_GB2312" w:cs="Times New Roman" w:hAnsi="Times New Roman"/>
          <w:sz w:val="32"/>
          <w:szCs w:val="32"/>
        </w:rPr>
      </w:pPr>
      <w:bookmarkStart w:id="132" w:name="_Toc1425922913_WPSOffice_Level2"/>
      <w:r>
        <w:rPr>
          <w:rFonts w:ascii="Times New Roman" w:eastAsia="仿宋_GB2312" w:cs="Times New Roman" w:hAnsi="Times New Roman"/>
          <w:sz w:val="32"/>
          <w:szCs w:val="32"/>
        </w:rPr>
        <w:t>六、一般公共预算财政拨款支出决算表</w:t>
      </w:r>
      <w:bookmarkEnd w:id="131"/>
      <w:bookmarkEnd w:id="132"/>
    </w:p>
    <w:p>
      <w:pPr>
        <w:pStyle w:val="24"/>
        <w:tabs>
          <w:tab w:val="right" w:leader="dot" w:pos="8296"/>
        </w:tabs>
        <w:adjustRightInd w:val="0"/>
        <w:snapToGrid w:val="0"/>
        <w:spacing w:line="560" w:lineRule="exact"/>
        <w:jc w:val="left"/>
        <w:rPr>
          <w:rFonts w:ascii="Times New Roman" w:eastAsia="仿宋_GB2312" w:cs="Times New Roman" w:hAnsi="Times New Roman"/>
          <w:sz w:val="32"/>
          <w:szCs w:val="32"/>
        </w:rPr>
      </w:pPr>
      <w:bookmarkStart w:id="133" w:name="_Toc15396625"/>
      <w:bookmarkStart w:id="134" w:name="_Toc1602408240_WPSOffice_Level2"/>
      <w:r>
        <w:rPr>
          <w:rFonts w:ascii="Times New Roman" w:eastAsia="仿宋_GB2312" w:cs="Times New Roman" w:hAnsi="Times New Roman"/>
          <w:sz w:val="32"/>
          <w:szCs w:val="32"/>
        </w:rPr>
        <w:t>七、一般公共预算财政拨款支出决算明细表</w:t>
      </w:r>
      <w:bookmarkEnd w:id="133"/>
      <w:bookmarkEnd w:id="134"/>
    </w:p>
    <w:p>
      <w:pPr>
        <w:pStyle w:val="24"/>
        <w:tabs>
          <w:tab w:val="right" w:leader="dot" w:pos="8296"/>
        </w:tabs>
        <w:adjustRightInd w:val="0"/>
        <w:snapToGrid w:val="0"/>
        <w:spacing w:line="560" w:lineRule="exact"/>
        <w:jc w:val="left"/>
        <w:rPr>
          <w:rFonts w:ascii="Times New Roman" w:eastAsia="仿宋_GB2312" w:cs="Times New Roman" w:hAnsi="Times New Roman"/>
          <w:sz w:val="32"/>
          <w:szCs w:val="32"/>
        </w:rPr>
      </w:pPr>
      <w:bookmarkStart w:id="135" w:name="_Toc2003632125_WPSOffice_Level2"/>
      <w:bookmarkStart w:id="136" w:name="_Toc15396626"/>
      <w:r>
        <w:rPr>
          <w:rFonts w:ascii="Times New Roman" w:eastAsia="仿宋_GB2312" w:cs="Times New Roman" w:hAnsi="Times New Roman"/>
          <w:sz w:val="32"/>
          <w:szCs w:val="32"/>
        </w:rPr>
        <w:t>八、一般公共预算财政拨款基本支出决算表</w:t>
      </w:r>
      <w:bookmarkEnd w:id="135"/>
      <w:bookmarkEnd w:id="136"/>
    </w:p>
    <w:p>
      <w:pPr>
        <w:pStyle w:val="24"/>
        <w:tabs>
          <w:tab w:val="right" w:leader="dot" w:pos="8296"/>
        </w:tabs>
        <w:adjustRightInd w:val="0"/>
        <w:snapToGrid w:val="0"/>
        <w:spacing w:line="560" w:lineRule="exact"/>
        <w:jc w:val="left"/>
        <w:rPr>
          <w:rFonts w:ascii="Times New Roman" w:eastAsia="仿宋_GB2312" w:cs="Times New Roman" w:hAnsi="Times New Roman"/>
          <w:sz w:val="32"/>
          <w:szCs w:val="32"/>
        </w:rPr>
      </w:pPr>
      <w:bookmarkStart w:id="137" w:name="_Toc899801685_WPSOffice_Level2"/>
      <w:bookmarkStart w:id="138" w:name="_Toc15396627"/>
      <w:r>
        <w:rPr>
          <w:rFonts w:ascii="Times New Roman" w:eastAsia="仿宋_GB2312" w:cs="Times New Roman" w:hAnsi="Times New Roman"/>
          <w:sz w:val="32"/>
          <w:szCs w:val="32"/>
        </w:rPr>
        <w:t>九、一般公共预算财政拨款项目支出决算表</w:t>
      </w:r>
      <w:bookmarkEnd w:id="137"/>
      <w:bookmarkEnd w:id="138"/>
    </w:p>
    <w:p>
      <w:pPr>
        <w:pStyle w:val="24"/>
        <w:tabs>
          <w:tab w:val="right" w:leader="dot" w:pos="8296"/>
        </w:tabs>
        <w:adjustRightInd w:val="0"/>
        <w:snapToGrid w:val="0"/>
        <w:spacing w:line="560" w:lineRule="exact"/>
        <w:jc w:val="left"/>
        <w:rPr>
          <w:rFonts w:ascii="Times New Roman" w:eastAsia="仿宋_GB2312" w:cs="Times New Roman" w:hAnsi="Times New Roman"/>
          <w:sz w:val="32"/>
          <w:szCs w:val="32"/>
        </w:rPr>
      </w:pPr>
      <w:bookmarkStart w:id="139" w:name="_Toc15396628"/>
      <w:bookmarkStart w:id="140" w:name="_Toc1275508005_WPSOffice_Level2"/>
      <w:r>
        <w:rPr>
          <w:rFonts w:ascii="Times New Roman" w:eastAsia="仿宋_GB2312" w:cs="Times New Roman" w:hAnsi="Times New Roman"/>
          <w:sz w:val="32"/>
          <w:szCs w:val="32"/>
        </w:rPr>
        <w:t>十、</w:t>
      </w:r>
      <w:bookmarkEnd w:id="139"/>
      <w:r>
        <w:rPr>
          <w:rFonts w:ascii="Times New Roman" w:eastAsia="仿宋_GB2312" w:cs="Times New Roman" w:hAnsi="Times New Roman"/>
          <w:sz w:val="32"/>
          <w:szCs w:val="32"/>
        </w:rPr>
        <w:t>政府性基金预算财政拨款收入支出决算表</w:t>
      </w:r>
      <w:bookmarkEnd w:id="140"/>
    </w:p>
    <w:p>
      <w:pPr>
        <w:pStyle w:val="24"/>
        <w:tabs>
          <w:tab w:val="right" w:leader="dot" w:pos="8296"/>
        </w:tabs>
        <w:adjustRightInd w:val="0"/>
        <w:snapToGrid w:val="0"/>
        <w:spacing w:line="560" w:lineRule="exact"/>
        <w:jc w:val="left"/>
        <w:rPr>
          <w:rFonts w:ascii="Times New Roman" w:eastAsia="仿宋_GB2312" w:cs="Times New Roman" w:hAnsi="Times New Roman"/>
          <w:sz w:val="32"/>
          <w:szCs w:val="32"/>
        </w:rPr>
      </w:pPr>
      <w:bookmarkStart w:id="141" w:name="_Toc15396629"/>
      <w:bookmarkStart w:id="142" w:name="_Toc606913452_WPSOffice_Level2"/>
      <w:r>
        <w:rPr>
          <w:rFonts w:ascii="Times New Roman" w:eastAsia="仿宋_GB2312" w:cs="Times New Roman" w:hAnsi="Times New Roman"/>
          <w:sz w:val="32"/>
          <w:szCs w:val="32"/>
        </w:rPr>
        <w:t>十一、</w:t>
      </w:r>
      <w:bookmarkEnd w:id="141"/>
      <w:r>
        <w:rPr>
          <w:rFonts w:ascii="Times New Roman" w:eastAsia="仿宋_GB2312" w:cs="Times New Roman" w:hAnsi="Times New Roman"/>
          <w:sz w:val="32"/>
          <w:szCs w:val="32"/>
        </w:rPr>
        <w:t>国有资本经营预算财政拨款收入支出决算表</w:t>
      </w:r>
      <w:bookmarkEnd w:id="142"/>
    </w:p>
    <w:p>
      <w:pPr>
        <w:pStyle w:val="24"/>
        <w:tabs>
          <w:tab w:val="right" w:leader="dot" w:pos="8296"/>
        </w:tabs>
        <w:adjustRightInd w:val="0"/>
        <w:snapToGrid w:val="0"/>
        <w:spacing w:line="560" w:lineRule="exact"/>
        <w:jc w:val="left"/>
        <w:rPr>
          <w:rFonts w:ascii="Times New Roman" w:eastAsia="仿宋_GB2312" w:cs="Times New Roman" w:hAnsi="Times New Roman"/>
          <w:sz w:val="32"/>
          <w:szCs w:val="32"/>
        </w:rPr>
      </w:pPr>
      <w:bookmarkStart w:id="143" w:name="_Toc15396630"/>
      <w:bookmarkStart w:id="144" w:name="_Toc1245979073_WPSOffice_Level2"/>
      <w:r>
        <w:rPr>
          <w:rFonts w:ascii="Times New Roman" w:eastAsia="仿宋_GB2312" w:cs="Times New Roman" w:hAnsi="Times New Roman"/>
          <w:sz w:val="32"/>
          <w:szCs w:val="32"/>
        </w:rPr>
        <w:t>十二、</w:t>
      </w:r>
      <w:bookmarkEnd w:id="143"/>
      <w:r>
        <w:rPr>
          <w:rFonts w:ascii="Times New Roman" w:eastAsia="仿宋_GB2312" w:cs="Times New Roman" w:hAnsi="Times New Roman"/>
          <w:sz w:val="32"/>
          <w:szCs w:val="32"/>
        </w:rPr>
        <w:t>国有资本经营预算财政拨款支出决算表</w:t>
      </w:r>
      <w:bookmarkEnd w:id="144"/>
    </w:p>
    <w:p>
      <w:pPr>
        <w:pStyle w:val="24"/>
        <w:tabs>
          <w:tab w:val="right" w:leader="dot" w:pos="8296"/>
        </w:tabs>
        <w:adjustRightInd w:val="0"/>
        <w:snapToGrid w:val="0"/>
        <w:spacing w:line="560" w:lineRule="exact"/>
        <w:jc w:val="left"/>
        <w:rPr>
          <w:rFonts w:ascii="Times New Roman" w:eastAsia="仿宋_GB2312" w:cs="Times New Roman" w:hAnsi="Times New Roman"/>
          <w:sz w:val="32"/>
          <w:szCs w:val="32"/>
        </w:rPr>
      </w:pPr>
      <w:bookmarkStart w:id="145" w:name="_Toc15396631"/>
      <w:bookmarkStart w:id="146" w:name="_Toc2081895648_WPSOffice_Level2"/>
      <w:r>
        <w:rPr>
          <w:rFonts w:ascii="Times New Roman" w:eastAsia="仿宋_GB2312" w:cs="Times New Roman" w:hAnsi="Times New Roman"/>
          <w:sz w:val="32"/>
          <w:szCs w:val="32"/>
        </w:rPr>
        <w:t>十三、</w:t>
      </w:r>
      <w:bookmarkEnd w:id="145"/>
      <w:r>
        <w:rPr>
          <w:rFonts w:ascii="Times New Roman" w:eastAsia="仿宋_GB2312" w:cs="Times New Roman" w:hAnsi="Times New Roman"/>
          <w:sz w:val="32"/>
          <w:szCs w:val="32"/>
        </w:rPr>
        <w:t>财政拨款“三公”经费支出决算表</w:t>
      </w:r>
      <w:bookmarkEnd w:id="146"/>
    </w:p>
    <w:p>
      <w:pPr>
        <w:rPr>
          <w:rFonts w:ascii="Times New Roman" w:cs="Times New Roman" w:hAnsi="Times New Roman"/>
        </w:rPr>
      </w:pPr>
    </w:p>
    <w:sectPr>
      <w:footerReference w:type="default" r:id="rId7"/>
      <w:pgSz w:w="11906" w:h="16838"/>
      <w:pgMar w:top="1440" w:right="1800" w:bottom="1440" w:left="1800" w:header="851" w:footer="992" w:gutter="0"/>
      <w:pgNumType w:fmt="numberInDash" w:start="1"/>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1"/>
    <w:family w:val="auto"/>
    <w:pitch w:val="variable"/>
    <w:sig w:usb0="E0002AFF" w:usb1="C0007841" w:usb2="00000009" w:usb3="00000000" w:csb0="400001FF" w:csb1="FFFF0000"/>
  </w:font>
  <w:font w:name="方正小标宋简体">
    <w:altName w:val="文泉驿微米黑"/>
    <w:panose1 w:val="02000000000000000000"/>
    <w:charset w:val="86"/>
    <w:family w:val="script"/>
    <w:pitch w:val="variable"/>
    <w:sig w:usb0="A00002BF" w:usb1="184F6CFA" w:usb2="00000012" w:usb3="00000000" w:csb0="00040001" w:csb1="00000000"/>
  </w:font>
  <w:font w:name="黑体">
    <w:altName w:val="方正黑体_GBK"/>
    <w:panose1 w:val="02010609060101010101"/>
    <w:charset w:val="86"/>
    <w:family w:val="auto"/>
    <w:pitch w:val="variable"/>
    <w:sig w:usb0="800002BF" w:usb1="38CF7CFA" w:usb2="00000016" w:usb3="00000000" w:csb0="00040001" w:csb1="00000000"/>
  </w:font>
  <w:font w:name="仿宋_GB2312">
    <w:altName w:val="永中仿宋"/>
    <w:panose1 w:val="02010609030101010101"/>
    <w:charset w:val="86"/>
    <w:family w:val="modern"/>
    <w:pitch w:val="variable"/>
    <w:sig w:usb0="00000001" w:usb1="080E0000" w:usb2="00000000" w:usb3="00000000" w:csb0="00040000" w:csb1="00000000"/>
  </w:font>
  <w:font w:name="宋体">
    <w:altName w:val="方正书宋_GBK"/>
    <w:panose1 w:val="02010600030101010101"/>
    <w:charset w:val="7A"/>
    <w:family w:val="auto"/>
    <w:pitch w:val="variable"/>
    <w:sig w:usb0="00000003" w:usb1="288F0000" w:usb2="00000006" w:usb3="00000000" w:csb0="00040001" w:csb1="00000000"/>
  </w:font>
  <w:font w:name="仿宋">
    <w:altName w:val="永中仿宋"/>
    <w:panose1 w:val="02010609060101010101"/>
    <w:charset w:val="86"/>
    <w:family w:val="modern"/>
    <w:pitch w:val="variable"/>
    <w:sig w:usb0="800002BF" w:usb1="38CF7CFA" w:usb2="00000016" w:usb3="00000000" w:csb0="00040001" w:csb1="00000000"/>
  </w:font>
  <w:font w:name="楷体_GB2312">
    <w:altName w:val="永中楷体"/>
    <w:panose1 w:val="02010609030101010101"/>
    <w:charset w:val="86"/>
    <w:family w:val="modern"/>
    <w:pitch w:val="variable"/>
    <w:sig w:usb0="00000001" w:usb1="080E0000" w:usb2="00000000" w:usb3="00000000" w:csb0="00040000" w:csb1="00000000"/>
  </w:font>
  <w:font w:name="Cambria">
    <w:altName w:val="DejaVu Sans"/>
    <w:panose1 w:val="02040503050406030204"/>
    <w:charset w:val="00"/>
    <w:family w:val="roman"/>
    <w:pitch w:val="variable"/>
    <w:sig w:usb0="E00002FF" w:usb1="400004FF" w:usb2="00000000" w:usb3="00000000" w:csb0="2000019F" w:csb1="00000000"/>
  </w:font>
  <w:font w:name="Calibri">
    <w:altName w:val="Times New Roman"/>
    <w:panose1 w:val="020F0502020204030204"/>
    <w:charset w:val="00"/>
    <w:family w:val="swiss"/>
    <w:pitch w:val="variable"/>
    <w:sig w:usb0="E10002FF" w:usb1="4000ACFF" w:usb2="00000009" w:usb3="00000000" w:csb0="2000019F" w:csb1="00000000"/>
  </w:font>
  <w:font w:name="Arial">
    <w:altName w:val="DejaVu Sans"/>
    <w:panose1 w:val="020B0604020202020204"/>
    <w:charset w:val="01"/>
    <w:family w:val="swiss"/>
    <w:pitch w:val="variable"/>
    <w:sig w:usb0="E0002AFF" w:usb1="C0007843" w:usb2="00000009" w:usb3="00000000" w:csb0="400001FF" w:csb1="FFFF0000"/>
  </w:font>
  <w:font w:name="??">
    <w:altName w:val="DejaVu Sans"/>
    <w:panose1 w:val="00000000000000000000"/>
    <w:charset w:val="00"/>
    <w:family w:val="roman"/>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tabs>
        <w:tab w:val="center" w:pos="4153"/>
        <w:tab w:val="right" w:pos="8306"/>
      </w:tabs>
      <w:jc w:val="center"/>
    </w:pPr>
  </w:p>
  <w:p>
    <w:pPr>
      <w:pStyle w:val="20"/>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tabs>
        <w:tab w:val="center" w:pos="4153"/>
        <w:tab w:val="right" w:pos="8306"/>
      </w:tabs>
      <w:jc w:val="center"/>
    </w:pPr>
  </w:p>
  <w:p>
    <w:pPr>
      <w:pStyle w:val="20"/>
      <w:tabs>
        <w:tab w:val="center" w:pos="4153"/>
        <w:tab w:val="right" w:pos="8306"/>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tabs>
        <w:tab w:val="center" w:pos="4153"/>
        <w:tab w:val="right" w:pos="8306"/>
      </w:tabs>
    </w:pPr>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tabs>
        <w:tab w:val="center" w:pos="4153"/>
        <w:tab w:val="right" w:pos="8306"/>
      </w:tabs>
      <w:jc w:val="center"/>
    </w:pPr>
  </w:p>
  <w:p>
    <w:pPr>
      <w:pStyle w:val="20"/>
      <w:tabs>
        <w:tab w:val="center" w:pos="4153"/>
        <w:tab w:val="right" w:pos="8306"/>
      </w:tabs>
    </w:pPr>
  </w:p>
</w:ftr>
</file>

<file path=word/footer5.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tabs>
        <w:tab w:val="center" w:pos="4153"/>
        <w:tab w:val="right" w:pos="8306"/>
      </w:tabs>
      <w:jc w:val="center"/>
    </w:pPr>
    <w:r>
      <w:rPr>
        <w:sz w:val="18"/>
      </w:rPr>
      <mc:AlternateContent>
        <mc:Choice Requires="wps">
          <w:drawing>
            <wp:anchor distT="0" distB="0" distL="114298" distR="114298" simplePos="0" relativeHeight="33" behindDoc="0" locked="0" layoutInCell="1" hidden="0" allowOverlap="1">
              <wp:simplePos x="0" y="0"/>
              <wp:positionH relativeFrom="margin">
                <wp:align>center</wp:align>
              </wp:positionH>
              <wp:positionV relativeFrom="paragraph">
                <wp:posOffset>0</wp:posOffset>
              </wp:positionV>
              <wp:extent cx="330098" cy="175412"/>
              <wp:effectExtent l="0" t="0" r="0" b="0"/>
              <wp:wrapNone/>
              <wp:docPr id="1" name="文本框 7"/>
              <wp:cNvGraphicFramePr>
                <a:graphicFrameLocks noChangeAspect="0"/>
              </wp:cNvGraphicFramePr>
              <a:graphic>
                <a:graphicData uri="http://schemas.microsoft.com/office/word/2010/wordprocessingShape">
                  <wps:wsp>
                    <wps:cNvSpPr/>
                    <wps:spPr>
                      <a:xfrm rot="0">
                        <a:off x="0" y="0"/>
                        <a:ext cx="330098" cy="175412"/>
                      </a:xfrm>
                      <a:prstGeom prst="rect"/>
                      <a:noFill/>
                      <a:ln w="6350" cmpd="sng" cap="flat">
                        <a:noFill/>
                        <a:prstDash val="solid"/>
                        <a:round/>
                      </a:ln>
                    </wps:spPr>
                    <wps:txbx id="2">
                      <w:txbxContent>
                        <w:p>
                          <w:pPr>
                            <w:pStyle w:val="20"/>
                            <w:tabs>
                              <w:tab w:val="center" w:pos="4153"/>
                              <w:tab w:val="right" w:pos="8306"/>
                            </w:tabs>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vert="horz" wrap="none" lIns="0" tIns="0" rIns="0" bIns="0" anchor="t" anchorCtr="0" upright="0">
                      <a:spAutoFit/>
                    </wps:bodyPr>
                  </wps:wsp>
                </a:graphicData>
              </a:graphic>
            </wp:anchor>
          </w:drawing>
        </mc:Choice>
        <mc:Fallback>
          <w:pict>
            <v:shape type="#_x0000_t202" id="文本框 7 3" o:spid="_x0000_s3" filled="f" stroked="f" strokeweight="0.5pt" style="position:absolute;margin-left:0.0pt;margin-top:0.0pt;width:25.991997pt;height:13.811984pt;z-index:33;mso-position-horizontal:center;mso-position-horizontal-relative:margin;mso-position-vertical:absolute;mso-wrap-distance-left:8.999863pt;mso-wrap-distance-right:8.999863pt;mso-wrap-style:none;">
              <v:stroke color="#000000"/>
              <v:textbox id="855" inset="0mm,0mm,0mm,0mm" o:insetmode="custom" style="layout-flow:horizontal;v-text-anchor:top;mso-fit-shape-to-text:t;">
                <w:txbxContent>
                  <w:p>
                    <w:pPr>
                      <w:pStyle w:val="20"/>
                      <w:tabs>
                        <w:tab w:val="center" w:pos="4153"/>
                        <w:tab w:val="right" w:pos="8306"/>
                      </w:tabs>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p>
    <w:pPr>
      <w:pStyle w:val="20"/>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pBdr>
        <w:bottom w:val="none" w:sz="0" w:space="0" w:color="auto"/>
      </w:pBdr>
      <w:tabs>
        <w:tab w:val="center" w:pos="4153"/>
        <w:tab w:val="right" w:pos="8306"/>
      </w:tabs>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toc 3"/>
    <w:basedOn w:val="0"/>
    <w:next w:val="0"/>
    <w:pPr>
      <w:tabs>
        <w:tab w:val="right" w:leader="dot" w:pos="8296"/>
      </w:tabs>
      <w:ind w:leftChars="400" w:left="400"/>
    </w:pPr>
  </w:style>
  <w:style w:type="paragraph" w:styleId="16">
    <w:name w:val="Body Text"/>
    <w:basedOn w:val="0"/>
    <w:next w:val="0"/>
    <w:pPr>
      <w:spacing w:beforeLines="30" w:before="30"/>
    </w:pPr>
    <w:rPr>
      <w:rFonts w:ascii="仿宋_GB2312" w:eastAsia="仿宋_GB2312"/>
      <w:kern w:val="0"/>
      <w:sz w:val="30"/>
    </w:rPr>
  </w:style>
  <w:style w:type="paragraph" w:styleId="17">
    <w:name w:val="Body Text Indent"/>
    <w:basedOn w:val="0"/>
    <w:next w:val="18"/>
    <w:pPr>
      <w:spacing w:after="120"/>
      <w:ind w:leftChars="200" w:left="200"/>
    </w:pPr>
    <w:rPr>
      <w:rFonts w:ascii="仿宋_GB2312" w:hAnsi="仿宋_GB2312"/>
      <w:szCs w:val="32"/>
    </w:rPr>
  </w:style>
  <w:style w:type="paragraph" w:styleId="18">
    <w:name w:val="Body Text First Indent 2"/>
    <w:basedOn w:val="17"/>
    <w:next w:val="0"/>
    <w:pPr>
      <w:ind w:firstLineChars="200" w:firstLine="200"/>
    </w:pPr>
  </w:style>
  <w:style w:type="paragraph" w:styleId="19">
    <w:name w:val="Balloon Text"/>
    <w:basedOn w:val="0"/>
    <w:rPr>
      <w:sz w:val="18"/>
      <w:szCs w:val="18"/>
    </w:rPr>
  </w:style>
  <w:style w:type="paragraph" w:styleId="20">
    <w:name w:val="footer"/>
    <w:basedOn w:val="0"/>
    <w:pPr>
      <w:tabs>
        <w:tab w:val="center" w:pos="4153"/>
        <w:tab w:val="right" w:pos="8306"/>
      </w:tabs>
      <w:snapToGrid w:val="0"/>
      <w:jc w:val="left"/>
    </w:pPr>
    <w:rPr>
      <w:rFonts w:ascii="Calibri" w:hAnsi="Calibri"/>
      <w:kern w:val="0"/>
      <w:sz w:val="18"/>
      <w:szCs w:val="18"/>
    </w:rPr>
  </w:style>
  <w:style w:type="paragraph" w:styleId="21">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2">
    <w:name w:val="toc 1"/>
    <w:basedOn w:val="0"/>
    <w:next w:val="0"/>
    <w:pPr>
      <w:tabs>
        <w:tab w:val="right" w:leader="dot" w:pos="8296"/>
      </w:tabs>
      <w:spacing w:before="93"/>
      <w:jc w:val="center"/>
    </w:pPr>
    <w:rPr>
      <w:rFonts w:ascii="仿宋" w:eastAsia="仿宋"/>
      <w:sz w:val="28"/>
      <w:szCs w:val="28"/>
    </w:rPr>
  </w:style>
  <w:style w:type="paragraph" w:styleId="23">
    <w:name w:val="footnote text"/>
    <w:basedOn w:val="0"/>
    <w:next w:val="18"/>
    <w:pPr>
      <w:snapToGrid w:val="0"/>
      <w:jc w:val="left"/>
    </w:pPr>
    <w:rPr>
      <w:sz w:val="18"/>
      <w:szCs w:val="18"/>
    </w:rPr>
  </w:style>
  <w:style w:type="paragraph" w:styleId="24">
    <w:name w:val="toc 2"/>
    <w:basedOn w:val="0"/>
    <w:next w:val="0"/>
    <w:pPr>
      <w:tabs>
        <w:tab w:val="right" w:leader="dot" w:pos="8296"/>
      </w:tabs>
      <w:ind w:leftChars="200" w:left="200"/>
    </w:pPr>
  </w:style>
  <w:style w:type="character" w:styleId="25">
    <w:name w:val="Strong"/>
    <w:basedOn w:val="10"/>
    <w:rPr>
      <w:b/>
    </w:rPr>
  </w:style>
  <w:style w:type="character" w:styleId="26">
    <w:name w:val="Hyperlink"/>
    <w:basedOn w:val="10"/>
    <w:rPr>
      <w:color w:val="0000FF"/>
      <w:u w:val="single"/>
    </w:rPr>
  </w:style>
  <w:style w:type="paragraph" w:customStyle="1" w:styleId="27">
    <w:name w:val="标题 5（有编号）（绿盟科技）"/>
    <w:next w:val="0"/>
    <w:pPr>
      <w:keepNext/>
      <w:keepLines/>
      <w:widowControl w:val="0"/>
      <w:spacing w:before="280" w:after="156" w:line="377" w:lineRule="auto"/>
      <w:outlineLvl w:val="4"/>
    </w:pPr>
    <w:rPr>
      <w:rFonts w:ascii="Arial" w:eastAsia="黑体" w:cs="Times New Roman" w:hAnsi="Arial"/>
      <w:b/>
      <w:kern w:val="2"/>
      <w:sz w:val="24"/>
      <w:szCs w:val="28"/>
      <w:lang w:val="en-US" w:eastAsia="zh-CN" w:bidi="ar-SA"/>
    </w:rPr>
  </w:style>
  <w:style w:type="character" w:customStyle="1" w:styleId="28">
    <w:name w:val="Header Char"/>
    <w:basedOn w:val="10"/>
    <w:rPr>
      <w:rFonts w:ascii="Times New Roman" w:hAnsi="Times New Roman"/>
      <w:sz w:val="18"/>
      <w:szCs w:val="18"/>
    </w:rPr>
  </w:style>
  <w:style w:type="character" w:customStyle="1" w:styleId="29">
    <w:name w:val="Footer Char"/>
    <w:basedOn w:val="10"/>
    <w:rPr>
      <w:rFonts w:ascii="Times New Roman" w:hAnsi="Times New Roman"/>
      <w:sz w:val="18"/>
      <w:szCs w:val="18"/>
    </w:rPr>
  </w:style>
  <w:style w:type="character" w:customStyle="1" w:styleId="30">
    <w:name w:val="Body Text Char"/>
    <w:basedOn w:val="10"/>
    <w:rPr>
      <w:rFonts w:ascii="Times New Roman" w:hAnsi="Times New Roman"/>
      <w:szCs w:val="24"/>
    </w:rPr>
  </w:style>
  <w:style w:type="paragraph" w:customStyle="1" w:styleId="31">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2">
    <w:name w:val="List Paragraph"/>
    <w:basedOn w:val="0"/>
    <w:pPr>
      <w:ind w:firstLineChars="200" w:firstLine="200"/>
    </w:pPr>
  </w:style>
  <w:style w:type="paragraph" w:customStyle="1" w:styleId="33">
    <w:name w:val="TOC 标题1"/>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 w:type="paragraph" w:customStyle="1" w:styleId="34">
    <w:name w:val="TOC 标题2"/>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 w:type="paragraph" w:customStyle="1" w:styleId="35">
    <w:name w:val="四号正文"/>
    <w:basedOn w:val="0"/>
    <w:pPr>
      <w:spacing w:line="360" w:lineRule="auto"/>
    </w:pPr>
    <w:rPr>
      <w:rFonts w:ascii="??" w:hAnsi="??"/>
      <w:color w:val="000000"/>
      <w:kern w:val="0"/>
      <w:sz w:val="28"/>
      <w:szCs w:val="21"/>
      <w:lang w:val="zh-CN"/>
    </w:rPr>
  </w:style>
  <w:style w:type="paragraph" w:customStyle="1" w:styleId="36">
    <w:name w:val="WPSOffice手动目录 1"/>
    <w:rPr>
      <w:rFonts w:ascii="Times New Roman" w:eastAsia="宋体" w:cs="Times New Roman" w:hAnsi="Times New Roman"/>
      <w:sz w:val="20"/>
      <w:szCs w:val="20"/>
    </w:rPr>
  </w:style>
  <w:style w:type="paragraph" w:customStyle="1" w:styleId="37">
    <w:name w:val="WPSOffice手动目录 2"/>
    <w:pPr>
      <w:ind w:leftChars="200" w:left="200"/>
    </w:pPr>
    <w:rPr>
      <w:rFonts w:ascii="Times New Roman" w:eastAsia="宋体" w:cs="Times New Roman" w:hAnsi="Times New Roman"/>
      <w:sz w:val="2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footer" Target="footer5.xml"/><Relationship Id="rId8" Type="http://schemas.openxmlformats.org/officeDocument/2006/relationships/image" Target="media/5.png"/><Relationship Id="rId9" Type="http://schemas.openxmlformats.org/officeDocument/2006/relationships/oleObject" Target="embeddings/oleObject1.bin"/><Relationship Id="rId10" Type="http://schemas.openxmlformats.org/officeDocument/2006/relationships/image" Target="media/7.png"/><Relationship Id="rId11" Type="http://schemas.openxmlformats.org/officeDocument/2006/relationships/oleObject" Target="embeddings/oleObject2.bin"/><Relationship Id="rId12" Type="http://schemas.openxmlformats.org/officeDocument/2006/relationships/image" Target="media/9.png"/><Relationship Id="rId13" Type="http://schemas.openxmlformats.org/officeDocument/2006/relationships/oleObject" Target="embeddings/oleObject3.bin"/><Relationship Id="rId14" Type="http://schemas.openxmlformats.org/officeDocument/2006/relationships/image" Target="media/11.png"/><Relationship Id="rId15" Type="http://schemas.openxmlformats.org/officeDocument/2006/relationships/oleObject" Target="embeddings/oleObject4.bin"/><Relationship Id="rId16" Type="http://schemas.openxmlformats.org/officeDocument/2006/relationships/image" Target="media/13.png"/><Relationship Id="rId17" Type="http://schemas.openxmlformats.org/officeDocument/2006/relationships/oleObject" Target="embeddings/oleObject5.bin"/><Relationship Id="rId18" Type="http://schemas.openxmlformats.org/officeDocument/2006/relationships/image" Target="media/15.png"/><Relationship Id="rId19" Type="http://schemas.openxmlformats.org/officeDocument/2006/relationships/oleObject" Target="embeddings/oleObject6.bin"/><Relationship Id="rId20" Type="http://schemas.openxmlformats.org/officeDocument/2006/relationships/image" Target="media/17.png"/><Relationship Id="rId21" Type="http://schemas.openxmlformats.org/officeDocument/2006/relationships/oleObject" Target="embeddings/oleObject7.bin"/><Relationship Id="rId22" Type="http://schemas.openxmlformats.org/officeDocument/2006/relationships/styles" Target="styles.xml"/><Relationship Id="rId23" Type="http://schemas.openxmlformats.org/officeDocument/2006/relationships/fontTable" Target="fontTable.xml"/><Relationship Id="rId2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word/glossary/document.xml><?xml version="1.0" encoding="utf-8"?>
<w:glossary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docParts>
    <w:docPart>
      <w:docPartPr>
        <w:name w:val="14DFAF6FE9F448EFAA9AF8ACDA844F9C"/>
        <w:category>
          <w:name w:val="常规"/>
          <w:gallery w:val="placeholder"/>
        </w:category>
        <w:types>
          <w:type w:val="bbPlcHdr"/>
        </w:types>
        <w:behaviors>
          <w:behavior w:val="content"/>
        </w:behaviors>
        <w:guid w:val="{2BE7E314-1A73-4DE9-98B9-28BF011BB4A5}"/>
      </w:docPartPr>
      <w:docPartBody>
        <w:p>
          <w:r>
            <w:rPr>
              <w:rStyle w:val="a3"/>
              <w:rFonts w:hint="eastAsia"/>
            </w:rPr>
            <w:t>单击此处输入文字。</w:t>
          </w:r>
        </w:p>
      </w:docPartBody>
    </w:docPart>
  </w:docParts>
</w:glossaryDocument>
</file>

<file path=word/glossary/fontTable.xml><?xml version="1.0" encoding="utf-8"?>
<w:fonts xmlns:w="http://schemas.openxmlformats.org/wordprocessingml/2006/main" xmlns:r="http://schemas.openxmlformats.org/officeDocument/2006/relationships">
  <w:font w:name="Times New Roman">
    <w:panose1 w:val="02020603050405020304"/>
    <w:charset w:val="01"/>
    <w:family w:val="auto"/>
    <w:pitch w:val="variable"/>
    <w:sig w:usb0="E0002AFF" w:usb1="C0007841" w:usb2="00000009" w:usb3="00000000" w:csb0="400001FF" w:csb1="FFFF0000"/>
  </w:font>
  <w:font w:name="宋体">
    <w:altName w:val="方正书宋_GBK"/>
    <w:panose1 w:val="02010600030101010101"/>
    <w:charset w:val="7A"/>
    <w:family w:val="auto"/>
    <w:pitch w:val="variable"/>
    <w:sig w:usb0="00000003" w:usb1="288F0000" w:usb2="00000006" w:usb3="00000000" w:csb0="00040001" w:csb1="00000000"/>
  </w:font>
</w:fonts>
</file>

<file path=word/glossary/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settings>
</file>

<file path=word/glossary/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character" w:default="1" w:styleId="10">
    <w:name w:val="Default Paragraph Font"/>
  </w:style>
  <w:style w:type="character" w:styleId="a3">
    <w:name w:val="Placeholder Text"/>
    <w:basedOn w:val="10"/>
    <w:rPr>
      <w:color w:val="808080"/>
    </w:rPr>
  </w:style>
</w:styles>
</file>

<file path=docProps/app.xml><?xml version="1.0" encoding="utf-8"?>
<Properties xmlns="http://schemas.openxmlformats.org/officeDocument/2006/extended-properties">
  <Template>Normal.eit</Template>
  <TotalTime>452</TotalTime>
  <Application>Yozo_Office27021597764231179</Application>
  <Pages>34</Pages>
  <Words>12237</Words>
  <Characters>13083</Characters>
  <Lines>618</Lines>
  <Paragraphs>188</Paragraphs>
  <CharactersWithSpaces>13149</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曹颖</dc:creator>
  <cp:lastModifiedBy>user</cp:lastModifiedBy>
  <cp:revision>38</cp:revision>
  <cp:lastPrinted>2026-09-08T09:42:34Z</cp:lastPrinted>
  <dcterms:created xsi:type="dcterms:W3CDTF">2020-08-10T09:49:00Z</dcterms:created>
  <dcterms:modified xsi:type="dcterms:W3CDTF">2026-09-13T07:49:27Z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2052-11.8.2.9695</vt:lpwstr>
  </property>
  <property fmtid="{D5CDD505-2E9C-101B-9397-08002B2CF9AE}" pid="3" name="ICV">
    <vt:lpwstr>3BF536824C220DA3E40E8B68BA118B1C_42</vt:lpwstr>
  </property>
</Properties>
</file>